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9C467" w14:textId="002A9A5C" w:rsidR="00B373E8" w:rsidRDefault="00B373E8"/>
    <w:p w14:paraId="41E061AF" w14:textId="77777777" w:rsidR="001F060C" w:rsidRDefault="001F060C"/>
    <w:p w14:paraId="581059BE" w14:textId="77777777" w:rsidR="001F060C" w:rsidRDefault="001F060C"/>
    <w:p w14:paraId="064FA40C" w14:textId="77777777" w:rsidR="001F060C" w:rsidRDefault="001F060C"/>
    <w:p w14:paraId="3855018E" w14:textId="39AB5BCC" w:rsidR="001F060C" w:rsidRPr="00A27F6F" w:rsidRDefault="002A31A3" w:rsidP="001F060C">
      <w:pPr>
        <w:rPr>
          <w:b/>
          <w:color w:val="CC0000"/>
          <w:sz w:val="44"/>
          <w:szCs w:val="44"/>
        </w:rPr>
      </w:pPr>
      <w:r w:rsidRPr="002A31A3">
        <w:rPr>
          <w:b/>
          <w:color w:val="CC0000"/>
          <w:sz w:val="44"/>
          <w:szCs w:val="44"/>
        </w:rPr>
        <w:t>Fine dell</w:t>
      </w:r>
      <w:r>
        <w:rPr>
          <w:b/>
          <w:color w:val="CC0000"/>
          <w:sz w:val="44"/>
          <w:szCs w:val="44"/>
        </w:rPr>
        <w:t>’</w:t>
      </w:r>
      <w:r w:rsidRPr="002A31A3">
        <w:rPr>
          <w:b/>
          <w:color w:val="CC0000"/>
          <w:sz w:val="44"/>
          <w:szCs w:val="44"/>
        </w:rPr>
        <w:t xml:space="preserve">articolo 18? Anatomia di una riforma chiamata </w:t>
      </w:r>
      <w:r w:rsidRPr="00481048">
        <w:rPr>
          <w:b/>
          <w:i/>
          <w:iCs/>
          <w:color w:val="CC0000"/>
          <w:sz w:val="44"/>
          <w:szCs w:val="44"/>
        </w:rPr>
        <w:t xml:space="preserve">Jobs </w:t>
      </w:r>
      <w:proofErr w:type="spellStart"/>
      <w:r w:rsidRPr="00481048">
        <w:rPr>
          <w:b/>
          <w:i/>
          <w:iCs/>
          <w:color w:val="CC0000"/>
          <w:sz w:val="44"/>
          <w:szCs w:val="44"/>
        </w:rPr>
        <w:t>Act</w:t>
      </w:r>
      <w:proofErr w:type="spellEnd"/>
    </w:p>
    <w:p w14:paraId="302969F9" w14:textId="77777777" w:rsidR="001F060C" w:rsidRPr="00E52D3C" w:rsidRDefault="001F060C" w:rsidP="001F060C">
      <w:pPr>
        <w:jc w:val="both"/>
        <w:rPr>
          <w:color w:val="CC0000"/>
          <w:sz w:val="20"/>
          <w:szCs w:val="20"/>
        </w:rPr>
      </w:pPr>
    </w:p>
    <w:p w14:paraId="3FD33093" w14:textId="32CE104A" w:rsidR="001F060C" w:rsidRPr="00A27F6F" w:rsidRDefault="001F060C" w:rsidP="001F060C">
      <w:pPr>
        <w:jc w:val="both"/>
        <w:rPr>
          <w:color w:val="CC0000"/>
          <w:sz w:val="32"/>
          <w:szCs w:val="32"/>
        </w:rPr>
      </w:pPr>
      <w:r>
        <w:rPr>
          <w:color w:val="CC0000"/>
          <w:sz w:val="32"/>
          <w:szCs w:val="32"/>
        </w:rPr>
        <w:t xml:space="preserve">di </w:t>
      </w:r>
      <w:r w:rsidR="0053534A">
        <w:rPr>
          <w:color w:val="CC0000"/>
          <w:sz w:val="32"/>
          <w:szCs w:val="32"/>
        </w:rPr>
        <w:t>Giovanni Piglialarmi</w:t>
      </w:r>
    </w:p>
    <w:p w14:paraId="23FB5D4F" w14:textId="77777777" w:rsidR="001F060C" w:rsidRDefault="001F060C" w:rsidP="001F060C">
      <w:pPr>
        <w:jc w:val="both"/>
      </w:pPr>
    </w:p>
    <w:p w14:paraId="4EACB4F3" w14:textId="13E5A3B1" w:rsidR="001F060C" w:rsidRDefault="001F060C" w:rsidP="001F060C">
      <w:pPr>
        <w:jc w:val="both"/>
      </w:pPr>
      <w:r w:rsidRPr="008141B6">
        <w:rPr>
          <w:b/>
          <w:color w:val="C00000"/>
          <w:sz w:val="20"/>
          <w:szCs w:val="20"/>
        </w:rPr>
        <w:t>Tag:</w:t>
      </w:r>
      <w:r>
        <w:rPr>
          <w:i/>
          <w:sz w:val="20"/>
          <w:szCs w:val="20"/>
        </w:rPr>
        <w:t xml:space="preserve"> </w:t>
      </w:r>
      <w:r w:rsidR="0053534A">
        <w:rPr>
          <w:i/>
          <w:sz w:val="20"/>
          <w:szCs w:val="20"/>
        </w:rPr>
        <w:t>#</w:t>
      </w:r>
      <w:r w:rsidR="004D33C5">
        <w:rPr>
          <w:i/>
          <w:sz w:val="20"/>
          <w:szCs w:val="20"/>
        </w:rPr>
        <w:t>jobsact</w:t>
      </w:r>
      <w:r w:rsidR="0053534A">
        <w:rPr>
          <w:i/>
          <w:sz w:val="20"/>
          <w:szCs w:val="20"/>
        </w:rPr>
        <w:t xml:space="preserve"> #</w:t>
      </w:r>
      <w:r w:rsidR="004D33C5">
        <w:rPr>
          <w:i/>
          <w:sz w:val="20"/>
          <w:szCs w:val="20"/>
        </w:rPr>
        <w:t>riforma</w:t>
      </w:r>
      <w:r w:rsidR="0053534A">
        <w:rPr>
          <w:i/>
          <w:sz w:val="20"/>
          <w:szCs w:val="20"/>
        </w:rPr>
        <w:t xml:space="preserve"> #</w:t>
      </w:r>
      <w:r w:rsidR="004D33C5">
        <w:rPr>
          <w:i/>
          <w:sz w:val="20"/>
          <w:szCs w:val="20"/>
        </w:rPr>
        <w:t>licenziamento</w:t>
      </w:r>
    </w:p>
    <w:p w14:paraId="52A6B29B" w14:textId="77777777" w:rsidR="001F060C" w:rsidRDefault="001F060C" w:rsidP="001F060C">
      <w:pPr>
        <w:jc w:val="both"/>
      </w:pPr>
    </w:p>
    <w:p w14:paraId="565ED2E2" w14:textId="4247F8E1" w:rsidR="00481048" w:rsidRPr="003B42FA" w:rsidRDefault="00481048" w:rsidP="002A31A3">
      <w:pPr>
        <w:widowControl w:val="0"/>
        <w:jc w:val="both"/>
      </w:pPr>
      <w:r w:rsidRPr="003B42FA">
        <w:rPr>
          <w:b/>
          <w:bCs/>
        </w:rPr>
        <w:t xml:space="preserve">Il </w:t>
      </w:r>
      <w:r w:rsidRPr="003B42FA">
        <w:rPr>
          <w:b/>
          <w:bCs/>
          <w:i/>
          <w:iCs/>
        </w:rPr>
        <w:t xml:space="preserve">Jobs </w:t>
      </w:r>
      <w:proofErr w:type="spellStart"/>
      <w:r w:rsidRPr="003B42FA">
        <w:rPr>
          <w:b/>
          <w:bCs/>
          <w:i/>
          <w:iCs/>
        </w:rPr>
        <w:t>Act</w:t>
      </w:r>
      <w:proofErr w:type="spellEnd"/>
      <w:r w:rsidRPr="003B42FA">
        <w:rPr>
          <w:b/>
          <w:bCs/>
        </w:rPr>
        <w:t xml:space="preserve"> così come lo abbiamo conosciuto nel 2015 non esiste più</w:t>
      </w:r>
      <w:r w:rsidRPr="003B42FA">
        <w:t>. L’obiettivo della riforma - contenuta nella lettera della legge-delega n. 183 del 2014 -</w:t>
      </w:r>
      <w:r w:rsidR="002969B4" w:rsidRPr="003B42FA">
        <w:t xml:space="preserve"> era quello di incrementare l’occupazione facendo leva su </w:t>
      </w:r>
      <w:r w:rsidR="002969B4" w:rsidRPr="003B42FA">
        <w:rPr>
          <w:b/>
          <w:bCs/>
        </w:rPr>
        <w:t>due importanti poli:</w:t>
      </w:r>
      <w:r w:rsidR="002969B4" w:rsidRPr="003B42FA">
        <w:t xml:space="preserve"> da un lato, il potenziamento e il rafforzamento dell’azione dei servizi pubblici nella gestione delle </w:t>
      </w:r>
      <w:r w:rsidR="002969B4" w:rsidRPr="003B42FA">
        <w:rPr>
          <w:b/>
          <w:bCs/>
        </w:rPr>
        <w:t>politiche attive</w:t>
      </w:r>
      <w:r w:rsidR="002969B4" w:rsidRPr="003B42FA">
        <w:t xml:space="preserve"> (art. 1, comm</w:t>
      </w:r>
      <w:r w:rsidR="00F612D6" w:rsidRPr="003B42FA">
        <w:t>i 3 e</w:t>
      </w:r>
      <w:r w:rsidR="002969B4" w:rsidRPr="003B42FA">
        <w:t xml:space="preserve"> 4); dall’altro, rivedere il </w:t>
      </w:r>
      <w:r w:rsidR="002969B4" w:rsidRPr="003B42FA">
        <w:rPr>
          <w:b/>
          <w:bCs/>
        </w:rPr>
        <w:t>sistema sanzionatorio del licenziamento</w:t>
      </w:r>
      <w:r w:rsidR="002969B4" w:rsidRPr="003B42FA">
        <w:t xml:space="preserve"> (art. 1, comma 7, </w:t>
      </w:r>
      <w:proofErr w:type="spellStart"/>
      <w:r w:rsidR="002969B4" w:rsidRPr="003B42FA">
        <w:t>lett</w:t>
      </w:r>
      <w:proofErr w:type="spellEnd"/>
      <w:r w:rsidR="002969B4" w:rsidRPr="003B42FA">
        <w:t xml:space="preserve">. </w:t>
      </w:r>
      <w:r w:rsidR="002969B4" w:rsidRPr="003B42FA">
        <w:rPr>
          <w:i/>
          <w:iCs/>
        </w:rPr>
        <w:t>c</w:t>
      </w:r>
      <w:r w:rsidR="002969B4" w:rsidRPr="003B42FA">
        <w:t>), con l’obiettivo di “superare” l’art. 18 St. Lav</w:t>
      </w:r>
      <w:r w:rsidR="00CE130B">
        <w:t>.</w:t>
      </w:r>
      <w:r w:rsidR="00F612D6" w:rsidRPr="003B42FA">
        <w:t xml:space="preserve"> In questo senso, il legislatore delegato ha adottato il </w:t>
      </w:r>
      <w:r w:rsidR="00F612D6" w:rsidRPr="00CE130B">
        <w:rPr>
          <w:b/>
          <w:bCs/>
        </w:rPr>
        <w:t>d.lgs. 14 settembre 2015, n. 150</w:t>
      </w:r>
      <w:r w:rsidR="00F612D6" w:rsidRPr="003B42FA">
        <w:t xml:space="preserve"> allo scopo di riordinare la normativa in materia di servizi per il lavoro e le politiche attive e il </w:t>
      </w:r>
      <w:r w:rsidR="00F612D6" w:rsidRPr="00CE130B">
        <w:rPr>
          <w:b/>
          <w:bCs/>
        </w:rPr>
        <w:t>d.lgs. 4 marzo 2015, n. 23</w:t>
      </w:r>
      <w:r w:rsidR="00F612D6" w:rsidRPr="003B42FA">
        <w:t xml:space="preserve"> </w:t>
      </w:r>
      <w:r w:rsidR="00AD0D48" w:rsidRPr="003B42FA">
        <w:t xml:space="preserve">allo scopo di ripensare le tutele a fronte dei licenziamenti dichiarati illegittimi. </w:t>
      </w:r>
    </w:p>
    <w:p w14:paraId="595335F7" w14:textId="684A3293" w:rsidR="002969B4" w:rsidRPr="003B42FA" w:rsidRDefault="002969B4" w:rsidP="003B42FA">
      <w:pPr>
        <w:widowControl w:val="0"/>
        <w:jc w:val="both"/>
      </w:pPr>
    </w:p>
    <w:p w14:paraId="71FE648D" w14:textId="77777777" w:rsidR="003B42FA" w:rsidRDefault="002969B4" w:rsidP="003B42FA">
      <w:pPr>
        <w:jc w:val="both"/>
      </w:pPr>
      <w:r w:rsidRPr="003B42FA">
        <w:t>Lasciamo ad altri le valutazioni sulla capacità di questa riforma di aver raggiunto o meno tali scopi, consapevoli del fatto che ogni tentativo in tal senso è piuttosto arduo posto che nel nostro Paese manca una</w:t>
      </w:r>
      <w:r w:rsidR="009E1D3F" w:rsidRPr="003B42FA">
        <w:t xml:space="preserve"> robusta cultura del monitoraggio e della valutazione del reale funzionamento delle leggi di riforma del mercato del lavoro (</w:t>
      </w:r>
      <w:r w:rsidR="009E1D3F" w:rsidRPr="003B42FA">
        <w:rPr>
          <w:smallCaps/>
          <w:color w:val="000000" w:themeColor="text1"/>
        </w:rPr>
        <w:t>T. Treu</w:t>
      </w:r>
      <w:r w:rsidR="009E1D3F" w:rsidRPr="003B42FA">
        <w:rPr>
          <w:color w:val="000000" w:themeColor="text1"/>
        </w:rPr>
        <w:t xml:space="preserve">, </w:t>
      </w:r>
      <w:r w:rsidR="009E1D3F" w:rsidRPr="003B42FA">
        <w:rPr>
          <w:i/>
          <w:iCs/>
          <w:color w:val="000000" w:themeColor="text1"/>
        </w:rPr>
        <w:t xml:space="preserve">Dal </w:t>
      </w:r>
      <w:r w:rsidR="009E1D3F" w:rsidRPr="003B42FA">
        <w:rPr>
          <w:i/>
          <w:iCs/>
        </w:rPr>
        <w:t>pacchetto Treu alla legge Biagi. Intervista a Tiziano Treu</w:t>
      </w:r>
      <w:r w:rsidR="009E1D3F" w:rsidRPr="003B42FA">
        <w:t xml:space="preserve">, in </w:t>
      </w:r>
      <w:r w:rsidR="009E1D3F" w:rsidRPr="003B42FA">
        <w:rPr>
          <w:smallCaps/>
        </w:rPr>
        <w:t>M. Tiraboschi</w:t>
      </w:r>
      <w:r w:rsidR="009E1D3F" w:rsidRPr="003B42FA">
        <w:t xml:space="preserve"> (a cura di), </w:t>
      </w:r>
      <w:r w:rsidR="009E1D3F" w:rsidRPr="003B42FA">
        <w:rPr>
          <w:i/>
          <w:iCs/>
        </w:rPr>
        <w:t>Venti anni di Legge Biagi</w:t>
      </w:r>
      <w:r w:rsidR="009E1D3F" w:rsidRPr="003B42FA">
        <w:t xml:space="preserve">, </w:t>
      </w:r>
      <w:proofErr w:type="spellStart"/>
      <w:r w:rsidR="009E1D3F" w:rsidRPr="003B42FA">
        <w:t>Adapt</w:t>
      </w:r>
      <w:proofErr w:type="spellEnd"/>
      <w:r w:rsidR="009E1D3F" w:rsidRPr="003B42FA">
        <w:t xml:space="preserve"> </w:t>
      </w:r>
      <w:proofErr w:type="spellStart"/>
      <w:r w:rsidR="009E1D3F" w:rsidRPr="003B42FA">
        <w:t>University</w:t>
      </w:r>
      <w:proofErr w:type="spellEnd"/>
      <w:r w:rsidR="009E1D3F" w:rsidRPr="003B42FA">
        <w:t xml:space="preserve"> Press, 2023, p. 3).</w:t>
      </w:r>
      <w:r w:rsidR="006F5E3E" w:rsidRPr="003B42FA">
        <w:t xml:space="preserve"> </w:t>
      </w:r>
    </w:p>
    <w:p w14:paraId="732D9173" w14:textId="77777777" w:rsidR="003B42FA" w:rsidRDefault="003B42FA" w:rsidP="003B42FA">
      <w:pPr>
        <w:jc w:val="both"/>
      </w:pPr>
    </w:p>
    <w:p w14:paraId="75C1331D" w14:textId="7262F3A7" w:rsidR="003B42FA" w:rsidRPr="003B42FA" w:rsidRDefault="006F5E3E" w:rsidP="003B42FA">
      <w:pPr>
        <w:jc w:val="both"/>
      </w:pPr>
      <w:r w:rsidRPr="003B42FA">
        <w:t xml:space="preserve">Ciò che, invece, possiamo constatare nell’immediato </w:t>
      </w:r>
      <w:r w:rsidR="00D64E08" w:rsidRPr="003B42FA">
        <w:t xml:space="preserve">è, </w:t>
      </w:r>
      <w:r w:rsidR="00D64E08" w:rsidRPr="003B42FA">
        <w:rPr>
          <w:i/>
          <w:iCs/>
        </w:rPr>
        <w:t>in primis</w:t>
      </w:r>
      <w:r w:rsidR="00D64E08" w:rsidRPr="003B42FA">
        <w:t xml:space="preserve">, </w:t>
      </w:r>
      <w:r w:rsidR="003B42FA" w:rsidRPr="003B42FA">
        <w:rPr>
          <w:b/>
          <w:bCs/>
        </w:rPr>
        <w:t>il mancato superamento dell’art. 18 St. Lav.</w:t>
      </w:r>
      <w:r w:rsidR="003B42FA" w:rsidRPr="003B42FA">
        <w:t xml:space="preserve">, </w:t>
      </w:r>
      <w:r w:rsidR="00CE130B">
        <w:t>considerato</w:t>
      </w:r>
      <w:r w:rsidR="003B42FA" w:rsidRPr="003B42FA">
        <w:t xml:space="preserve"> che il d.lgs. 4 marzo 2015, n. 23 non ne ha mai disposto l’abrogazione, avendo semplicemente stabilito per i lavoratori e le lavoratrici assunte da una certa data in poi (7 marzo 2015), l’applicazione di un diverso regime sanzionatorio. Senza contare, poi, che in non pochi casi la contrattazione ne ha comunque garantito l’applicazione anche ai c.d. “nuovi assunti” (</w:t>
      </w:r>
      <w:r w:rsidR="003B42FA" w:rsidRPr="003B42FA">
        <w:rPr>
          <w:smallCaps/>
          <w:color w:val="000000"/>
          <w:shd w:val="clear" w:color="auto" w:fill="FFFFFF"/>
        </w:rPr>
        <w:t>M. Tiraboschi</w:t>
      </w:r>
      <w:r w:rsidR="003B42FA" w:rsidRPr="003B42FA">
        <w:rPr>
          <w:color w:val="000000"/>
          <w:shd w:val="clear" w:color="auto" w:fill="FFFFFF"/>
        </w:rPr>
        <w:t>, </w:t>
      </w:r>
      <w:r w:rsidR="003B42FA" w:rsidRPr="003B42FA">
        <w:rPr>
          <w:rStyle w:val="Enfasicorsivo"/>
          <w:color w:val="000000"/>
          <w:bdr w:val="none" w:sz="0" w:space="0" w:color="auto" w:frame="1"/>
          <w:shd w:val="clear" w:color="auto" w:fill="FFFFFF"/>
        </w:rPr>
        <w:t>L’art. 18 come benefit? A proposito del caso Novartis e dell’applicazione in via pattizia del regime di stabilita reale del contratto di lavoro</w:t>
      </w:r>
      <w:r w:rsidR="003B42FA" w:rsidRPr="003B42FA">
        <w:rPr>
          <w:color w:val="000000"/>
          <w:shd w:val="clear" w:color="auto" w:fill="FFFFFF"/>
        </w:rPr>
        <w:t xml:space="preserve">, in </w:t>
      </w:r>
      <w:r w:rsidR="003B42FA" w:rsidRPr="003B42FA">
        <w:rPr>
          <w:smallCaps/>
          <w:color w:val="000000"/>
          <w:shd w:val="clear" w:color="auto" w:fill="FFFFFF"/>
        </w:rPr>
        <w:t xml:space="preserve">D. Mosca, P. </w:t>
      </w:r>
      <w:proofErr w:type="spellStart"/>
      <w:r w:rsidR="003B42FA" w:rsidRPr="003B42FA">
        <w:rPr>
          <w:smallCaps/>
          <w:color w:val="000000"/>
          <w:shd w:val="clear" w:color="auto" w:fill="FFFFFF"/>
        </w:rPr>
        <w:t>Tomassetti</w:t>
      </w:r>
      <w:proofErr w:type="spellEnd"/>
      <w:r w:rsidR="003B42FA" w:rsidRPr="003B42FA">
        <w:rPr>
          <w:color w:val="000000"/>
          <w:shd w:val="clear" w:color="auto" w:fill="FFFFFF"/>
        </w:rPr>
        <w:t xml:space="preserve"> (a cura di) </w:t>
      </w:r>
      <w:r w:rsidR="003B42FA" w:rsidRPr="003B42FA">
        <w:rPr>
          <w:rStyle w:val="Enfasicorsivo"/>
          <w:color w:val="000000"/>
          <w:bdr w:val="none" w:sz="0" w:space="0" w:color="auto" w:frame="1"/>
          <w:shd w:val="clear" w:color="auto" w:fill="FFFFFF"/>
        </w:rPr>
        <w:t>La trasformazione del lavoro nei contratti aziendali Una analisi di buone prassi contrattuali</w:t>
      </w:r>
      <w:r w:rsidR="003B42FA" w:rsidRPr="003B42FA">
        <w:rPr>
          <w:color w:val="000000"/>
          <w:shd w:val="clear" w:color="auto" w:fill="FFFFFF"/>
        </w:rPr>
        <w:t xml:space="preserve">, </w:t>
      </w:r>
      <w:proofErr w:type="spellStart"/>
      <w:r w:rsidR="003B42FA" w:rsidRPr="003B42FA">
        <w:rPr>
          <w:color w:val="000000"/>
          <w:shd w:val="clear" w:color="auto" w:fill="FFFFFF"/>
        </w:rPr>
        <w:t>Adapt</w:t>
      </w:r>
      <w:proofErr w:type="spellEnd"/>
      <w:r w:rsidR="003B42FA" w:rsidRPr="003B42FA">
        <w:rPr>
          <w:color w:val="000000"/>
          <w:shd w:val="clear" w:color="auto" w:fill="FFFFFF"/>
        </w:rPr>
        <w:t xml:space="preserve"> </w:t>
      </w:r>
      <w:proofErr w:type="spellStart"/>
      <w:r w:rsidR="003B42FA" w:rsidRPr="003B42FA">
        <w:rPr>
          <w:color w:val="000000"/>
          <w:shd w:val="clear" w:color="auto" w:fill="FFFFFF"/>
        </w:rPr>
        <w:t>Labour</w:t>
      </w:r>
      <w:proofErr w:type="spellEnd"/>
      <w:r w:rsidR="003B42FA" w:rsidRPr="003B42FA">
        <w:rPr>
          <w:color w:val="000000"/>
          <w:shd w:val="clear" w:color="auto" w:fill="FFFFFF"/>
        </w:rPr>
        <w:t xml:space="preserve"> </w:t>
      </w:r>
      <w:proofErr w:type="spellStart"/>
      <w:r w:rsidR="003B42FA" w:rsidRPr="003B42FA">
        <w:rPr>
          <w:color w:val="000000"/>
          <w:shd w:val="clear" w:color="auto" w:fill="FFFFFF"/>
        </w:rPr>
        <w:t>Studies</w:t>
      </w:r>
      <w:proofErr w:type="spellEnd"/>
      <w:r w:rsidR="003B42FA" w:rsidRPr="003B42FA">
        <w:rPr>
          <w:color w:val="000000"/>
          <w:shd w:val="clear" w:color="auto" w:fill="FFFFFF"/>
        </w:rPr>
        <w:t xml:space="preserve">, n. 44, 2015, p. 146 e ss.; </w:t>
      </w:r>
      <w:r w:rsidR="003B42FA" w:rsidRPr="003B42FA">
        <w:rPr>
          <w:smallCaps/>
          <w:color w:val="000000"/>
          <w:shd w:val="clear" w:color="auto" w:fill="FFFFFF"/>
        </w:rPr>
        <w:t>G. Piglialarmi</w:t>
      </w:r>
      <w:r w:rsidR="003B42FA" w:rsidRPr="003B42FA">
        <w:rPr>
          <w:color w:val="000000"/>
          <w:shd w:val="clear" w:color="auto" w:fill="FFFFFF"/>
        </w:rPr>
        <w:t>, </w:t>
      </w:r>
      <w:r w:rsidR="003B42FA" w:rsidRPr="003B42FA">
        <w:rPr>
          <w:rStyle w:val="Enfasicorsivo"/>
          <w:color w:val="000000"/>
          <w:bdr w:val="none" w:sz="0" w:space="0" w:color="auto" w:frame="1"/>
          <w:shd w:val="clear" w:color="auto" w:fill="FFFFFF"/>
        </w:rPr>
        <w:t xml:space="preserve">Gli accordi anti-Jobs </w:t>
      </w:r>
      <w:proofErr w:type="spellStart"/>
      <w:r w:rsidR="003B42FA" w:rsidRPr="003B42FA">
        <w:rPr>
          <w:rStyle w:val="Enfasicorsivo"/>
          <w:color w:val="000000"/>
          <w:bdr w:val="none" w:sz="0" w:space="0" w:color="auto" w:frame="1"/>
          <w:shd w:val="clear" w:color="auto" w:fill="FFFFFF"/>
        </w:rPr>
        <w:t>Act</w:t>
      </w:r>
      <w:proofErr w:type="spellEnd"/>
      <w:r w:rsidR="003B42FA" w:rsidRPr="003B42FA">
        <w:rPr>
          <w:rStyle w:val="Enfasicorsivo"/>
          <w:color w:val="000000"/>
          <w:bdr w:val="none" w:sz="0" w:space="0" w:color="auto" w:frame="1"/>
          <w:shd w:val="clear" w:color="auto" w:fill="FFFFFF"/>
        </w:rPr>
        <w:t>, ancora un fenomeno marginale?</w:t>
      </w:r>
      <w:r w:rsidR="003B42FA" w:rsidRPr="003B42FA">
        <w:rPr>
          <w:color w:val="000000"/>
          <w:shd w:val="clear" w:color="auto" w:fill="FFFFFF"/>
        </w:rPr>
        <w:t>, in </w:t>
      </w:r>
      <w:proofErr w:type="spellStart"/>
      <w:r w:rsidR="003B42FA" w:rsidRPr="003B42FA">
        <w:rPr>
          <w:rStyle w:val="Enfasicorsivo"/>
          <w:color w:val="000000"/>
          <w:bdr w:val="none" w:sz="0" w:space="0" w:color="auto" w:frame="1"/>
          <w:shd w:val="clear" w:color="auto" w:fill="FFFFFF"/>
        </w:rPr>
        <w:t>GLav</w:t>
      </w:r>
      <w:proofErr w:type="spellEnd"/>
      <w:r w:rsidR="003B42FA" w:rsidRPr="003B42FA">
        <w:rPr>
          <w:color w:val="000000"/>
          <w:shd w:val="clear" w:color="auto" w:fill="FFFFFF"/>
        </w:rPr>
        <w:t xml:space="preserve">, 21 settembre 2018, n. 37, p. 37 e </w:t>
      </w:r>
      <w:proofErr w:type="spellStart"/>
      <w:r w:rsidR="003B42FA" w:rsidRPr="003B42FA">
        <w:rPr>
          <w:color w:val="000000"/>
          <w:shd w:val="clear" w:color="auto" w:fill="FFFFFF"/>
        </w:rPr>
        <w:t>ss</w:t>
      </w:r>
      <w:proofErr w:type="spellEnd"/>
      <w:r w:rsidR="003B42FA" w:rsidRPr="003B42FA">
        <w:t>).</w:t>
      </w:r>
    </w:p>
    <w:p w14:paraId="25D2FEF2" w14:textId="77777777" w:rsidR="003B42FA" w:rsidRPr="003B42FA" w:rsidRDefault="003B42FA" w:rsidP="002A31A3">
      <w:pPr>
        <w:widowControl w:val="0"/>
        <w:jc w:val="both"/>
      </w:pPr>
    </w:p>
    <w:p w14:paraId="0183162F" w14:textId="15E6558B" w:rsidR="002969B4" w:rsidRDefault="00AE2CAB" w:rsidP="002A31A3">
      <w:pPr>
        <w:widowControl w:val="0"/>
        <w:jc w:val="both"/>
      </w:pPr>
      <w:r>
        <w:t xml:space="preserve">Inoltre, bisogna anche prendere atto della </w:t>
      </w:r>
      <w:r w:rsidR="00D64E08" w:rsidRPr="003B42FA">
        <w:rPr>
          <w:b/>
          <w:bCs/>
        </w:rPr>
        <w:t xml:space="preserve">abolizione dell’Agenzia Nazionale per le Politiche Attive del Lavoro (ANPAL) </w:t>
      </w:r>
      <w:r w:rsidR="00D64E08" w:rsidRPr="003B42FA">
        <w:t>ad opera del DPCM 22 novembre 2023, n. 230.</w:t>
      </w:r>
      <w:r w:rsidR="00F612D6" w:rsidRPr="003B42FA">
        <w:t xml:space="preserve"> </w:t>
      </w:r>
      <w:r w:rsidR="00540959">
        <w:t>Infine</w:t>
      </w:r>
      <w:r w:rsidR="00F612D6" w:rsidRPr="003B42FA">
        <w:t xml:space="preserve">, </w:t>
      </w:r>
      <w:r w:rsidR="00540959">
        <w:t>non vanno trascurati</w:t>
      </w:r>
      <w:r w:rsidR="00F612D6" w:rsidRPr="003B42FA">
        <w:t xml:space="preserve"> </w:t>
      </w:r>
      <w:r w:rsidR="00F612D6" w:rsidRPr="003B42FA">
        <w:rPr>
          <w:b/>
          <w:bCs/>
        </w:rPr>
        <w:t>i ripetuti interventi della Corte Costituzionale</w:t>
      </w:r>
      <w:r w:rsidR="00540959">
        <w:rPr>
          <w:b/>
          <w:bCs/>
        </w:rPr>
        <w:t xml:space="preserve"> sul d.lgs. 4 marzo 2015, n. </w:t>
      </w:r>
      <w:r w:rsidR="00540959">
        <w:rPr>
          <w:b/>
          <w:bCs/>
        </w:rPr>
        <w:lastRenderedPageBreak/>
        <w:t>23</w:t>
      </w:r>
      <w:r w:rsidR="00540959" w:rsidRPr="00540959">
        <w:t>,</w:t>
      </w:r>
      <w:r w:rsidR="00F612D6" w:rsidRPr="00540959">
        <w:t xml:space="preserve"> </w:t>
      </w:r>
      <w:r w:rsidR="00540959" w:rsidRPr="00540959">
        <w:t>i quali hanno sostanzialmente vanificato l’impianto</w:t>
      </w:r>
      <w:r w:rsidR="00BE3C61">
        <w:t xml:space="preserve"> di fondo del nuovo regime sanzionatorio</w:t>
      </w:r>
      <w:r w:rsidR="00AD0D48" w:rsidRPr="00540959">
        <w:t>,</w:t>
      </w:r>
      <w:r w:rsidR="00AD0D48" w:rsidRPr="003B42FA">
        <w:t xml:space="preserve"> </w:t>
      </w:r>
      <w:r w:rsidR="00BE3C61">
        <w:t>utile a</w:t>
      </w:r>
      <w:r w:rsidR="00AD0D48" w:rsidRPr="003B42FA">
        <w:t xml:space="preserve"> consentire al datore di lavoro di prevedere il costo di un</w:t>
      </w:r>
      <w:r w:rsidR="00AD0D48">
        <w:t xml:space="preserve"> licenziamento potenzialmente esposto a censure di legittimità (c.d. </w:t>
      </w:r>
      <w:proofErr w:type="spellStart"/>
      <w:r w:rsidR="00AD0D48" w:rsidRPr="00AD0D48">
        <w:rPr>
          <w:i/>
          <w:iCs/>
        </w:rPr>
        <w:t>firing</w:t>
      </w:r>
      <w:proofErr w:type="spellEnd"/>
      <w:r w:rsidR="00AD0D48" w:rsidRPr="00AD0D48">
        <w:rPr>
          <w:i/>
          <w:iCs/>
        </w:rPr>
        <w:t xml:space="preserve"> </w:t>
      </w:r>
      <w:proofErr w:type="spellStart"/>
      <w:r w:rsidR="00AD0D48" w:rsidRPr="00AD0D48">
        <w:rPr>
          <w:i/>
          <w:iCs/>
        </w:rPr>
        <w:t>cost</w:t>
      </w:r>
      <w:proofErr w:type="spellEnd"/>
      <w:r w:rsidR="00AD0D48">
        <w:t xml:space="preserve">). </w:t>
      </w:r>
      <w:r w:rsidR="003B42FA" w:rsidRPr="00BE3C61">
        <w:rPr>
          <w:b/>
          <w:bCs/>
        </w:rPr>
        <w:t>Di questa (ennesima) riforma, dunque, non resta quasi più nulla</w:t>
      </w:r>
      <w:r w:rsidR="00BE3C61">
        <w:t>, se non un cospicuo numero di pronunce della Corte Costituzionale (</w:t>
      </w:r>
      <w:r w:rsidR="00BE3C61" w:rsidRPr="004A3FAB">
        <w:rPr>
          <w:b/>
          <w:bCs/>
        </w:rPr>
        <w:t>ben 7</w:t>
      </w:r>
      <w:r w:rsidR="00BE3C61">
        <w:t xml:space="preserve">) che oggi orientano imprese e lavoratori </w:t>
      </w:r>
      <w:r w:rsidR="004B626F">
        <w:t xml:space="preserve">sulle conseguenze derivanti dal licenziamento illegittimo. </w:t>
      </w:r>
      <w:r w:rsidR="004A3FAB">
        <w:t xml:space="preserve">Peraltro, </w:t>
      </w:r>
      <w:r w:rsidR="004A3FAB" w:rsidRPr="00CE130B">
        <w:rPr>
          <w:b/>
          <w:bCs/>
        </w:rPr>
        <w:t>n</w:t>
      </w:r>
      <w:r w:rsidR="00D23FD8" w:rsidRPr="00CE130B">
        <w:rPr>
          <w:b/>
          <w:bCs/>
        </w:rPr>
        <w:t>on si conoscono riforme che</w:t>
      </w:r>
      <w:r w:rsidR="004A3FAB" w:rsidRPr="00CE130B">
        <w:rPr>
          <w:b/>
          <w:bCs/>
        </w:rPr>
        <w:t xml:space="preserve"> siano state scrutinate così tante volte dal giudice delle leggi</w:t>
      </w:r>
      <w:r w:rsidR="004A3FAB">
        <w:t xml:space="preserve">. </w:t>
      </w:r>
      <w:r w:rsidR="00863BD0">
        <w:t xml:space="preserve">Si potrebbe sostenere che nonostante sia venuta meno la prevedibilità del “costo” del licenziamento, del </w:t>
      </w:r>
      <w:r w:rsidR="00863BD0" w:rsidRPr="00863BD0">
        <w:rPr>
          <w:i/>
          <w:iCs/>
        </w:rPr>
        <w:t xml:space="preserve">Jobs </w:t>
      </w:r>
      <w:proofErr w:type="spellStart"/>
      <w:r w:rsidR="00863BD0" w:rsidRPr="00863BD0">
        <w:rPr>
          <w:i/>
          <w:iCs/>
        </w:rPr>
        <w:t>Act</w:t>
      </w:r>
      <w:proofErr w:type="spellEnd"/>
      <w:r w:rsidR="00863BD0">
        <w:t xml:space="preserve"> resterebbe in piedi comunque un sistema sanzionatorio </w:t>
      </w:r>
      <w:r w:rsidR="00863BD0">
        <w:t xml:space="preserve">molto più orientato alla tutela indennitaria che a quella </w:t>
      </w:r>
      <w:proofErr w:type="spellStart"/>
      <w:r w:rsidR="00863BD0">
        <w:t>reintegratoria</w:t>
      </w:r>
      <w:proofErr w:type="spellEnd"/>
      <w:r w:rsidR="00863BD0">
        <w:t xml:space="preserve">. </w:t>
      </w:r>
      <w:r w:rsidR="00513B7D">
        <w:t xml:space="preserve">Ma sappiamo bene che l’area della tutela reale era stata già “ristretta” dalla riforma dell’art. 18 St. Lav. ad opera della Legge Fornero (legge </w:t>
      </w:r>
      <w:r w:rsidR="001D1E4C">
        <w:t>28</w:t>
      </w:r>
      <w:r w:rsidR="00513B7D">
        <w:t xml:space="preserve"> giugno 2012, n. 92).  </w:t>
      </w:r>
    </w:p>
    <w:p w14:paraId="77ECDD0B" w14:textId="54E8EA1A" w:rsidR="00A029B3" w:rsidRDefault="00A029B3" w:rsidP="002A31A3">
      <w:pPr>
        <w:widowControl w:val="0"/>
        <w:jc w:val="both"/>
      </w:pPr>
    </w:p>
    <w:p w14:paraId="03315BFE" w14:textId="21F12C60" w:rsidR="00D04A78" w:rsidRDefault="00A029B3" w:rsidP="00D04A78">
      <w:pPr>
        <w:widowControl w:val="0"/>
        <w:jc w:val="both"/>
      </w:pPr>
      <w:r>
        <w:t xml:space="preserve">La tabella che segue mira a fornire un quadro sinottico di tutti gli interventi della Corte Costituzionale sul d.lgs. 4 marzo 2015, n. 23, identificando la disposizione normativa scrutinata, l’esito del giudizio e il principio di diritto scaturente dalla decisione della Corte. </w:t>
      </w:r>
      <w:r w:rsidR="00D04A78">
        <w:t xml:space="preserve">Sebbene le dichiarazioni di incostituzionalità espresse siano soltanto 3 (C. </w:t>
      </w:r>
      <w:proofErr w:type="spellStart"/>
      <w:r w:rsidR="00D04A78">
        <w:t>Cost</w:t>
      </w:r>
      <w:proofErr w:type="spellEnd"/>
      <w:r w:rsidR="00D04A78">
        <w:t xml:space="preserve">. </w:t>
      </w:r>
      <w:r w:rsidR="00D04A78" w:rsidRPr="00D04A78">
        <w:t>8 novembre 2018, n. 194</w:t>
      </w:r>
      <w:r w:rsidR="00D04A78">
        <w:t xml:space="preserve">; C. </w:t>
      </w:r>
      <w:proofErr w:type="spellStart"/>
      <w:r w:rsidR="00D04A78">
        <w:t>Cost</w:t>
      </w:r>
      <w:proofErr w:type="spellEnd"/>
      <w:r w:rsidR="00D04A78">
        <w:t xml:space="preserve">. </w:t>
      </w:r>
      <w:r w:rsidR="00D04A78" w:rsidRPr="00D04A78">
        <w:t>16 luglio 2020, n. 150</w:t>
      </w:r>
      <w:r w:rsidR="00D04A78">
        <w:t xml:space="preserve">; C. </w:t>
      </w:r>
      <w:proofErr w:type="spellStart"/>
      <w:r w:rsidR="00D04A78">
        <w:t>Cost</w:t>
      </w:r>
      <w:proofErr w:type="spellEnd"/>
      <w:r w:rsidR="00D04A78">
        <w:t xml:space="preserve">. </w:t>
      </w:r>
      <w:r w:rsidR="00D04A78" w:rsidRPr="00D04A78">
        <w:t>22 febbraio 2024, n. 22</w:t>
      </w:r>
      <w:r w:rsidR="00D04A78">
        <w:t xml:space="preserve">), in altre pronunce (C. </w:t>
      </w:r>
      <w:proofErr w:type="spellStart"/>
      <w:r w:rsidR="00D04A78">
        <w:t>Cost</w:t>
      </w:r>
      <w:proofErr w:type="spellEnd"/>
      <w:r w:rsidR="00D04A78">
        <w:t xml:space="preserve">. </w:t>
      </w:r>
      <w:r w:rsidR="00D04A78" w:rsidRPr="00D04A78">
        <w:t>26 novembre 2020, n. 254</w:t>
      </w:r>
      <w:r w:rsidR="00D04A78">
        <w:t xml:space="preserve">; C. </w:t>
      </w:r>
      <w:proofErr w:type="spellStart"/>
      <w:r w:rsidR="00D04A78">
        <w:t>Cost</w:t>
      </w:r>
      <w:proofErr w:type="spellEnd"/>
      <w:r w:rsidR="00D04A78">
        <w:t xml:space="preserve">. </w:t>
      </w:r>
      <w:r w:rsidR="00D04A78" w:rsidRPr="00D04A78">
        <w:t>7 maggio 2021, n. 93</w:t>
      </w:r>
      <w:r w:rsidR="00D04A78">
        <w:t xml:space="preserve">) la Corte dà atto di non poter entrare nel merito della questione di legittimità costituzionale a causa di vizi contenuti nell’ordinanza di remissione della questione. In un altro caso, invece, la Corte ha solo “rimandato” una possibile dichiarazione di incostituzionalità, mettendo in mora il legislatore nel richiedere un suo esplicito intervento in materia (C. </w:t>
      </w:r>
      <w:proofErr w:type="spellStart"/>
      <w:r w:rsidR="00D04A78">
        <w:t>Cost</w:t>
      </w:r>
      <w:proofErr w:type="spellEnd"/>
      <w:r w:rsidR="00D04A78">
        <w:t>.</w:t>
      </w:r>
      <w:r w:rsidR="00D04A78" w:rsidRPr="00D04A78">
        <w:t xml:space="preserve"> 22 luglio 2022, n. 183</w:t>
      </w:r>
      <w:r w:rsidR="00D04A78">
        <w:t xml:space="preserve">). </w:t>
      </w:r>
      <w:r w:rsidR="00DB3E92">
        <w:t xml:space="preserve">Gli effetti che tali pronunce hanno comportato sono diversi: </w:t>
      </w:r>
      <w:r w:rsidR="00DB3E92" w:rsidRPr="00DB3E92">
        <w:rPr>
          <w:b/>
          <w:bCs/>
        </w:rPr>
        <w:t>a)</w:t>
      </w:r>
      <w:r w:rsidR="00DB3E92">
        <w:t xml:space="preserve"> in caso di licenziamento illegittimo, non è più possibile tenere conto della sola anzianità di servizio nel determinare l’indennità risarcitoria di cui agli artt. 3 e 4 del d.lgs. 4 marzo 2015, n. 23; </w:t>
      </w:r>
      <w:r w:rsidR="00DB3E92" w:rsidRPr="00B142FC">
        <w:rPr>
          <w:b/>
          <w:bCs/>
        </w:rPr>
        <w:t>b)</w:t>
      </w:r>
      <w:r w:rsidR="00DB3E92">
        <w:t xml:space="preserve"> </w:t>
      </w:r>
      <w:r w:rsidR="00B142FC">
        <w:t xml:space="preserve">sebbene manchi ancora un intervento legislativo sul punto, è acclarato che, alla luce della </w:t>
      </w:r>
      <w:r w:rsidR="00B142FC" w:rsidRPr="00B142FC">
        <w:t xml:space="preserve">trasformazione dei processi produttivi, </w:t>
      </w:r>
      <w:r w:rsidR="00B142FC">
        <w:t xml:space="preserve">la dimensione occupazione tra più o meno 15 dipendenti </w:t>
      </w:r>
      <w:r w:rsidR="00B142FC" w:rsidRPr="00B142FC">
        <w:t>non è più indicativ</w:t>
      </w:r>
      <w:r w:rsidR="00B142FC">
        <w:t>a</w:t>
      </w:r>
      <w:r w:rsidR="00B142FC" w:rsidRPr="00B142FC">
        <w:t xml:space="preserve"> della effettiva forza economica del datore di lavoro, né rispecchia la gravità del licenziamento arbitrario e neppure fornisce parametri plausibili per una liquidazione del danno </w:t>
      </w:r>
      <w:r w:rsidR="00B142FC">
        <w:t xml:space="preserve">ai sensi dell’art. 9 del d.lgs. 4 marzo 2015, n. 23; </w:t>
      </w:r>
      <w:r w:rsidR="00B142FC" w:rsidRPr="00B142FC">
        <w:rPr>
          <w:b/>
          <w:bCs/>
        </w:rPr>
        <w:t>c)</w:t>
      </w:r>
      <w:r w:rsidR="00B142FC">
        <w:t xml:space="preserve"> in caso di licenziamento nullo ai sensi dell’art. 2 del d.lgs. 4 marzo 2015, n. 23, </w:t>
      </w:r>
      <w:r w:rsidR="00B142FC" w:rsidRPr="00B142FC">
        <w:t xml:space="preserve">la tutela </w:t>
      </w:r>
      <w:proofErr w:type="spellStart"/>
      <w:r w:rsidR="00B142FC" w:rsidRPr="00B142FC">
        <w:t>reintegratoria</w:t>
      </w:r>
      <w:proofErr w:type="spellEnd"/>
      <w:r w:rsidR="00B142FC" w:rsidRPr="00B142FC">
        <w:t xml:space="preserve"> si applica a tutti i casi di nullità previsti dalla legge, anche laddove la sanzione della reintegrazione non è espressamente prevista</w:t>
      </w:r>
      <w:r w:rsidR="00B142FC">
        <w:t xml:space="preserve">. </w:t>
      </w:r>
    </w:p>
    <w:p w14:paraId="0ADB0B17" w14:textId="77777777" w:rsidR="00F61ADF" w:rsidRDefault="00F61ADF" w:rsidP="002A31A3">
      <w:pPr>
        <w:widowControl w:val="0"/>
        <w:jc w:val="both"/>
      </w:pPr>
    </w:p>
    <w:p w14:paraId="6DAD8411" w14:textId="1065CEAB" w:rsidR="00367E0E" w:rsidRDefault="00367E0E" w:rsidP="0053534A">
      <w:pPr>
        <w:widowControl w:val="0"/>
        <w:jc w:val="both"/>
      </w:pPr>
    </w:p>
    <w:tbl>
      <w:tblPr>
        <w:tblStyle w:val="Tabellagriglia4-colore2"/>
        <w:tblW w:w="13405" w:type="dxa"/>
        <w:tblLook w:val="04A0" w:firstRow="1" w:lastRow="0" w:firstColumn="1" w:lastColumn="0" w:noHBand="0" w:noVBand="1"/>
      </w:tblPr>
      <w:tblGrid>
        <w:gridCol w:w="2689"/>
        <w:gridCol w:w="2835"/>
        <w:gridCol w:w="2835"/>
        <w:gridCol w:w="5046"/>
      </w:tblGrid>
      <w:tr w:rsidR="00871A40" w14:paraId="3A1E0A58" w14:textId="2810A51D" w:rsidTr="00871A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F3E934A" w14:textId="224A12C2" w:rsidR="00871A40" w:rsidRPr="00D3536B" w:rsidRDefault="00871A40" w:rsidP="0053534A">
            <w:pPr>
              <w:widowControl w:val="0"/>
              <w:jc w:val="both"/>
              <w:rPr>
                <w:sz w:val="20"/>
                <w:szCs w:val="20"/>
              </w:rPr>
            </w:pPr>
            <w:r w:rsidRPr="00D3536B">
              <w:rPr>
                <w:sz w:val="20"/>
                <w:szCs w:val="20"/>
              </w:rPr>
              <w:t>Estremi della pronuncia</w:t>
            </w:r>
          </w:p>
        </w:tc>
        <w:tc>
          <w:tcPr>
            <w:tcW w:w="2835" w:type="dxa"/>
          </w:tcPr>
          <w:p w14:paraId="08C5995B" w14:textId="77777777" w:rsidR="00871A40" w:rsidRPr="00D3536B" w:rsidRDefault="00871A40" w:rsidP="00886184">
            <w:pPr>
              <w:widowControl w:val="0"/>
              <w:cnfStyle w:val="100000000000" w:firstRow="1" w:lastRow="0" w:firstColumn="0" w:lastColumn="0" w:oddVBand="0" w:evenVBand="0" w:oddHBand="0" w:evenHBand="0" w:firstRowFirstColumn="0" w:firstRowLastColumn="0" w:lastRowFirstColumn="0" w:lastRowLastColumn="0"/>
              <w:rPr>
                <w:sz w:val="20"/>
                <w:szCs w:val="20"/>
              </w:rPr>
            </w:pPr>
            <w:r w:rsidRPr="00D3536B">
              <w:rPr>
                <w:sz w:val="20"/>
                <w:szCs w:val="20"/>
              </w:rPr>
              <w:t xml:space="preserve">Disposizione normativa scrutinata </w:t>
            </w:r>
          </w:p>
          <w:p w14:paraId="7EA558FE" w14:textId="37105625" w:rsidR="00871A40" w:rsidRPr="00D3536B" w:rsidRDefault="00871A40" w:rsidP="0053534A">
            <w:pPr>
              <w:widowControl w:val="0"/>
              <w:jc w:val="both"/>
              <w:cnfStyle w:val="100000000000" w:firstRow="1" w:lastRow="0" w:firstColumn="0" w:lastColumn="0" w:oddVBand="0" w:evenVBand="0" w:oddHBand="0" w:evenHBand="0" w:firstRowFirstColumn="0" w:firstRowLastColumn="0" w:lastRowFirstColumn="0" w:lastRowLastColumn="0"/>
              <w:rPr>
                <w:sz w:val="20"/>
                <w:szCs w:val="20"/>
              </w:rPr>
            </w:pPr>
          </w:p>
        </w:tc>
        <w:tc>
          <w:tcPr>
            <w:tcW w:w="2835" w:type="dxa"/>
          </w:tcPr>
          <w:p w14:paraId="7E6B2DF4" w14:textId="0B7CECEC" w:rsidR="00871A40" w:rsidRPr="00D3536B" w:rsidRDefault="00871A40" w:rsidP="0053534A">
            <w:pPr>
              <w:widowControl w:val="0"/>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Esito </w:t>
            </w:r>
          </w:p>
        </w:tc>
        <w:tc>
          <w:tcPr>
            <w:tcW w:w="5046" w:type="dxa"/>
          </w:tcPr>
          <w:p w14:paraId="285403AF" w14:textId="48083878" w:rsidR="00871A40" w:rsidRPr="00D3536B" w:rsidRDefault="00871A40" w:rsidP="0053534A">
            <w:pPr>
              <w:widowControl w:val="0"/>
              <w:jc w:val="both"/>
              <w:cnfStyle w:val="100000000000" w:firstRow="1" w:lastRow="0" w:firstColumn="0" w:lastColumn="0" w:oddVBand="0" w:evenVBand="0" w:oddHBand="0" w:evenHBand="0" w:firstRowFirstColumn="0" w:firstRowLastColumn="0" w:lastRowFirstColumn="0" w:lastRowLastColumn="0"/>
              <w:rPr>
                <w:sz w:val="20"/>
                <w:szCs w:val="20"/>
              </w:rPr>
            </w:pPr>
            <w:r w:rsidRPr="00D3536B">
              <w:rPr>
                <w:sz w:val="20"/>
                <w:szCs w:val="20"/>
              </w:rPr>
              <w:t>Massima</w:t>
            </w:r>
          </w:p>
        </w:tc>
      </w:tr>
      <w:tr w:rsidR="00871A40" w14:paraId="135D834F" w14:textId="545331F5" w:rsidTr="00871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3DA277E" w14:textId="17DFEB1B" w:rsidR="00871A40" w:rsidRPr="00D3536B" w:rsidRDefault="00871A40" w:rsidP="00D3536B">
            <w:pPr>
              <w:widowControl w:val="0"/>
              <w:rPr>
                <w:sz w:val="20"/>
                <w:szCs w:val="20"/>
              </w:rPr>
            </w:pPr>
            <w:r w:rsidRPr="00D3536B">
              <w:rPr>
                <w:sz w:val="20"/>
                <w:szCs w:val="20"/>
              </w:rPr>
              <w:t>8 novembre 2018, n. 194</w:t>
            </w:r>
            <w:r>
              <w:rPr>
                <w:sz w:val="20"/>
                <w:szCs w:val="20"/>
              </w:rPr>
              <w:t xml:space="preserve"> </w:t>
            </w:r>
            <w:r>
              <w:rPr>
                <w:sz w:val="20"/>
                <w:szCs w:val="20"/>
              </w:rPr>
              <w:br/>
            </w:r>
            <w:r w:rsidRPr="00D3536B">
              <w:rPr>
                <w:b w:val="0"/>
                <w:bCs w:val="0"/>
                <w:sz w:val="20"/>
                <w:szCs w:val="20"/>
              </w:rPr>
              <w:t>(giudice relatore Silvana Sciarra)</w:t>
            </w:r>
          </w:p>
          <w:p w14:paraId="63C408CA" w14:textId="77777777" w:rsidR="00871A40" w:rsidRPr="00D3536B" w:rsidRDefault="00871A40" w:rsidP="0053534A">
            <w:pPr>
              <w:widowControl w:val="0"/>
              <w:jc w:val="both"/>
              <w:rPr>
                <w:sz w:val="20"/>
                <w:szCs w:val="20"/>
              </w:rPr>
            </w:pPr>
          </w:p>
          <w:p w14:paraId="2D7FAD88" w14:textId="3329C053" w:rsidR="00871A40" w:rsidRPr="00D3536B" w:rsidRDefault="00871A40" w:rsidP="0053534A">
            <w:pPr>
              <w:widowControl w:val="0"/>
              <w:jc w:val="both"/>
              <w:rPr>
                <w:sz w:val="20"/>
                <w:szCs w:val="20"/>
              </w:rPr>
            </w:pPr>
          </w:p>
        </w:tc>
        <w:tc>
          <w:tcPr>
            <w:tcW w:w="2835" w:type="dxa"/>
          </w:tcPr>
          <w:p w14:paraId="1818352C" w14:textId="77777777" w:rsidR="00871A40" w:rsidRDefault="00871A40" w:rsidP="006609D8">
            <w:pPr>
              <w:widowControl w:val="0"/>
              <w:cnfStyle w:val="000000100000" w:firstRow="0" w:lastRow="0" w:firstColumn="0" w:lastColumn="0" w:oddVBand="0" w:evenVBand="0" w:oddHBand="1" w:evenHBand="0" w:firstRowFirstColumn="0" w:firstRowLastColumn="0" w:lastRowFirstColumn="0" w:lastRowLastColumn="0"/>
              <w:rPr>
                <w:b/>
                <w:bCs/>
                <w:sz w:val="20"/>
                <w:szCs w:val="20"/>
              </w:rPr>
            </w:pPr>
            <w:r w:rsidRPr="00542E70">
              <w:rPr>
                <w:b/>
                <w:bCs/>
                <w:sz w:val="20"/>
                <w:szCs w:val="20"/>
              </w:rPr>
              <w:t xml:space="preserve">art. 3, comma 1, del d.lgs. n. 23 del 2015 </w:t>
            </w:r>
          </w:p>
          <w:p w14:paraId="163112E6" w14:textId="3830D842" w:rsidR="00871A40" w:rsidRPr="00542E70" w:rsidRDefault="00871A40" w:rsidP="006609D8">
            <w:pPr>
              <w:widowControl w:val="0"/>
              <w:cnfStyle w:val="000000100000" w:firstRow="0" w:lastRow="0" w:firstColumn="0" w:lastColumn="0" w:oddVBand="0" w:evenVBand="0" w:oddHBand="1" w:evenHBand="0" w:firstRowFirstColumn="0" w:firstRowLastColumn="0" w:lastRowFirstColumn="0" w:lastRowLastColumn="0"/>
              <w:rPr>
                <w:b/>
                <w:bCs/>
                <w:sz w:val="20"/>
                <w:szCs w:val="20"/>
              </w:rPr>
            </w:pPr>
            <w:r w:rsidRPr="00D3536B">
              <w:rPr>
                <w:sz w:val="20"/>
                <w:szCs w:val="20"/>
              </w:rPr>
              <w:t>(</w:t>
            </w:r>
            <w:r w:rsidR="006609D8">
              <w:rPr>
                <w:sz w:val="20"/>
                <w:szCs w:val="20"/>
              </w:rPr>
              <w:t>criteri per la determinazione dell’indennità risarcitoria a fronte di un licenziamento illegittimo</w:t>
            </w:r>
            <w:r w:rsidRPr="00D3536B">
              <w:rPr>
                <w:sz w:val="20"/>
                <w:szCs w:val="20"/>
              </w:rPr>
              <w:t>)</w:t>
            </w:r>
          </w:p>
        </w:tc>
        <w:tc>
          <w:tcPr>
            <w:tcW w:w="2835" w:type="dxa"/>
          </w:tcPr>
          <w:p w14:paraId="4D441156" w14:textId="3E37736E" w:rsidR="00871A40" w:rsidRPr="00D3536B" w:rsidRDefault="006609D8" w:rsidP="00886184">
            <w:pPr>
              <w:widowContro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Dichiarato costituzionalmente illegittimo l’art. 3, comma 1, del d.lgs. n. 23 del 2015</w:t>
            </w:r>
          </w:p>
        </w:tc>
        <w:tc>
          <w:tcPr>
            <w:tcW w:w="5046" w:type="dxa"/>
          </w:tcPr>
          <w:p w14:paraId="59A0A632" w14:textId="70CEEC17" w:rsidR="00871A40" w:rsidRPr="00D3536B" w:rsidRDefault="00871A40" w:rsidP="00886184">
            <w:pPr>
              <w:widowControl w:val="0"/>
              <w:cnfStyle w:val="000000100000" w:firstRow="0" w:lastRow="0" w:firstColumn="0" w:lastColumn="0" w:oddVBand="0" w:evenVBand="0" w:oddHBand="1" w:evenHBand="0" w:firstRowFirstColumn="0" w:firstRowLastColumn="0" w:lastRowFirstColumn="0" w:lastRowLastColumn="0"/>
              <w:rPr>
                <w:sz w:val="20"/>
                <w:szCs w:val="20"/>
              </w:rPr>
            </w:pPr>
            <w:r w:rsidRPr="00D3536B">
              <w:rPr>
                <w:sz w:val="20"/>
                <w:szCs w:val="20"/>
              </w:rPr>
              <w:t xml:space="preserve">In conseguenza della declaratoria di parziale incostituzionalità dell’art. 3, comma 1, del d.lgs. n. 23 del 2015 (sia nel testo originario, sia nel testo modificato dall’art. 3, comma 1, del </w:t>
            </w:r>
            <w:proofErr w:type="spellStart"/>
            <w:r w:rsidRPr="00D3536B">
              <w:rPr>
                <w:sz w:val="20"/>
                <w:szCs w:val="20"/>
              </w:rPr>
              <w:t>d.l.</w:t>
            </w:r>
            <w:proofErr w:type="spellEnd"/>
            <w:r w:rsidRPr="00D3536B">
              <w:rPr>
                <w:sz w:val="20"/>
                <w:szCs w:val="20"/>
              </w:rPr>
              <w:t xml:space="preserve"> n. 87 del 2018, </w:t>
            </w:r>
            <w:proofErr w:type="spellStart"/>
            <w:r w:rsidRPr="00D3536B">
              <w:rPr>
                <w:sz w:val="20"/>
                <w:szCs w:val="20"/>
              </w:rPr>
              <w:t>conv</w:t>
            </w:r>
            <w:proofErr w:type="spellEnd"/>
            <w:r w:rsidRPr="00D3536B">
              <w:rPr>
                <w:sz w:val="20"/>
                <w:szCs w:val="20"/>
              </w:rPr>
              <w:t xml:space="preserve">., con </w:t>
            </w:r>
            <w:proofErr w:type="spellStart"/>
            <w:r w:rsidRPr="00D3536B">
              <w:rPr>
                <w:sz w:val="20"/>
                <w:szCs w:val="20"/>
              </w:rPr>
              <w:t>modif</w:t>
            </w:r>
            <w:proofErr w:type="spellEnd"/>
            <w:r w:rsidRPr="00D3536B">
              <w:rPr>
                <w:sz w:val="20"/>
                <w:szCs w:val="20"/>
              </w:rPr>
              <w:t xml:space="preserve">., nella legge n. 96 del 2018), il giudice - nel rispetto del limite minimo (quattro, elevate a sei, mensilità) e del </w:t>
            </w:r>
            <w:r w:rsidRPr="00D3536B">
              <w:rPr>
                <w:sz w:val="20"/>
                <w:szCs w:val="20"/>
              </w:rPr>
              <w:lastRenderedPageBreak/>
              <w:t xml:space="preserve">limite massimo (ventiquattro, elevate a trentasei, mensilità) entro i quali va determinata l’indennità spettante al lavoratore illegittimamente licenziato - terrà conto innanzi tutto dell’anzianità di servizio (quale criterio prescritto dall’art. 1, comma 7, </w:t>
            </w:r>
            <w:proofErr w:type="spellStart"/>
            <w:r w:rsidRPr="00D3536B">
              <w:rPr>
                <w:sz w:val="20"/>
                <w:szCs w:val="20"/>
              </w:rPr>
              <w:t>lett</w:t>
            </w:r>
            <w:proofErr w:type="spellEnd"/>
            <w:r w:rsidRPr="00D3536B">
              <w:rPr>
                <w:sz w:val="20"/>
                <w:szCs w:val="20"/>
              </w:rPr>
              <w:t xml:space="preserve">. </w:t>
            </w:r>
            <w:r w:rsidRPr="00D3536B">
              <w:rPr>
                <w:i/>
                <w:iCs/>
                <w:sz w:val="20"/>
                <w:szCs w:val="20"/>
              </w:rPr>
              <w:t>c</w:t>
            </w:r>
            <w:r w:rsidRPr="00D3536B">
              <w:rPr>
                <w:sz w:val="20"/>
                <w:szCs w:val="20"/>
              </w:rPr>
              <w:t>, della legge delega n. 184 del 2013 e al quale è ispirato il disegno riformatore del d.lgs. n. 23 del 2015) nonché degli altri criteri desumibili in chiave sistematica dall’evoluzione della disciplina limitativa dei licenziamenti (numero dei dipendenti occupati, dimensioni dell'attività economica, comportamento e condizioni delle parti).</w:t>
            </w:r>
          </w:p>
          <w:p w14:paraId="73AEC8E2" w14:textId="4FCBD469" w:rsidR="00871A40" w:rsidRPr="00D3536B" w:rsidRDefault="00871A40" w:rsidP="0053534A">
            <w:pPr>
              <w:widowControl w:val="0"/>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871A40" w14:paraId="058D0F49" w14:textId="066EE042" w:rsidTr="00871A40">
        <w:tc>
          <w:tcPr>
            <w:cnfStyle w:val="001000000000" w:firstRow="0" w:lastRow="0" w:firstColumn="1" w:lastColumn="0" w:oddVBand="0" w:evenVBand="0" w:oddHBand="0" w:evenHBand="0" w:firstRowFirstColumn="0" w:firstRowLastColumn="0" w:lastRowFirstColumn="0" w:lastRowLastColumn="0"/>
            <w:tcW w:w="2689" w:type="dxa"/>
          </w:tcPr>
          <w:p w14:paraId="288C66C1" w14:textId="044B1BF7" w:rsidR="00871A40" w:rsidRDefault="00871A40" w:rsidP="0053534A">
            <w:pPr>
              <w:widowControl w:val="0"/>
              <w:jc w:val="both"/>
              <w:rPr>
                <w:b w:val="0"/>
                <w:bCs w:val="0"/>
                <w:sz w:val="20"/>
                <w:szCs w:val="20"/>
              </w:rPr>
            </w:pPr>
            <w:r>
              <w:rPr>
                <w:sz w:val="20"/>
                <w:szCs w:val="20"/>
              </w:rPr>
              <w:lastRenderedPageBreak/>
              <w:t>16 luglio 2020, n. 150</w:t>
            </w:r>
          </w:p>
          <w:p w14:paraId="507C8C33" w14:textId="551B6694" w:rsidR="00871A40" w:rsidRPr="00D3536B" w:rsidRDefault="00871A40" w:rsidP="0053534A">
            <w:pPr>
              <w:widowControl w:val="0"/>
              <w:jc w:val="both"/>
              <w:rPr>
                <w:sz w:val="20"/>
                <w:szCs w:val="20"/>
              </w:rPr>
            </w:pPr>
            <w:r w:rsidRPr="00D3536B">
              <w:rPr>
                <w:b w:val="0"/>
                <w:bCs w:val="0"/>
                <w:sz w:val="20"/>
                <w:szCs w:val="20"/>
              </w:rPr>
              <w:t>(giudice relatore Silvana Sciarra)</w:t>
            </w:r>
          </w:p>
          <w:p w14:paraId="1AF6F69F" w14:textId="0F902948" w:rsidR="00871A40" w:rsidRPr="00D3536B" w:rsidRDefault="00871A40" w:rsidP="0053534A">
            <w:pPr>
              <w:widowControl w:val="0"/>
              <w:jc w:val="both"/>
              <w:rPr>
                <w:sz w:val="20"/>
                <w:szCs w:val="20"/>
              </w:rPr>
            </w:pPr>
          </w:p>
        </w:tc>
        <w:tc>
          <w:tcPr>
            <w:tcW w:w="2835" w:type="dxa"/>
          </w:tcPr>
          <w:p w14:paraId="3C67CC60" w14:textId="77777777" w:rsidR="00871A40" w:rsidRDefault="00871A40" w:rsidP="0053534A">
            <w:pPr>
              <w:widowControl w:val="0"/>
              <w:jc w:val="both"/>
              <w:cnfStyle w:val="000000000000" w:firstRow="0" w:lastRow="0" w:firstColumn="0" w:lastColumn="0" w:oddVBand="0" w:evenVBand="0" w:oddHBand="0" w:evenHBand="0" w:firstRowFirstColumn="0" w:firstRowLastColumn="0" w:lastRowFirstColumn="0" w:lastRowLastColumn="0"/>
              <w:rPr>
                <w:b/>
                <w:bCs/>
                <w:sz w:val="20"/>
                <w:szCs w:val="20"/>
              </w:rPr>
            </w:pPr>
            <w:r w:rsidRPr="00542E70">
              <w:rPr>
                <w:b/>
                <w:bCs/>
                <w:sz w:val="20"/>
                <w:szCs w:val="20"/>
              </w:rPr>
              <w:t>art. 4 del d.lgs. n. 23 del 2015</w:t>
            </w:r>
          </w:p>
          <w:p w14:paraId="0F5FE384" w14:textId="309750DE" w:rsidR="003D7F1C" w:rsidRPr="003D7F1C" w:rsidRDefault="003D7F1C" w:rsidP="003D7F1C">
            <w:pPr>
              <w:widowControl w:val="0"/>
              <w:cnfStyle w:val="000000000000" w:firstRow="0" w:lastRow="0" w:firstColumn="0" w:lastColumn="0" w:oddVBand="0" w:evenVBand="0" w:oddHBand="0" w:evenHBand="0" w:firstRowFirstColumn="0" w:firstRowLastColumn="0" w:lastRowFirstColumn="0" w:lastRowLastColumn="0"/>
              <w:rPr>
                <w:sz w:val="20"/>
                <w:szCs w:val="20"/>
              </w:rPr>
            </w:pPr>
            <w:r w:rsidRPr="00D3536B">
              <w:rPr>
                <w:sz w:val="20"/>
                <w:szCs w:val="20"/>
              </w:rPr>
              <w:t>(</w:t>
            </w:r>
            <w:r>
              <w:rPr>
                <w:sz w:val="20"/>
                <w:szCs w:val="20"/>
              </w:rPr>
              <w:t>criteri per la determinazione dell’indennità risarcitoria a fronte di un licenziamento viziato per ragioni di forma o procedurali</w:t>
            </w:r>
            <w:r w:rsidRPr="00D3536B">
              <w:rPr>
                <w:sz w:val="20"/>
                <w:szCs w:val="20"/>
              </w:rPr>
              <w:t>)</w:t>
            </w:r>
          </w:p>
        </w:tc>
        <w:tc>
          <w:tcPr>
            <w:tcW w:w="2835" w:type="dxa"/>
          </w:tcPr>
          <w:p w14:paraId="5F2B3CA9" w14:textId="764BC266" w:rsidR="00871A40" w:rsidRPr="00D3536B" w:rsidRDefault="003308BB" w:rsidP="00886184">
            <w:pPr>
              <w:widowControl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Dichiarato costituzionalmente illegittimo l’art. 4 del d.lgs. n. 23 del 2015</w:t>
            </w:r>
          </w:p>
        </w:tc>
        <w:tc>
          <w:tcPr>
            <w:tcW w:w="5046" w:type="dxa"/>
          </w:tcPr>
          <w:p w14:paraId="17DDCCBD" w14:textId="4759E822" w:rsidR="00871A40" w:rsidRDefault="00871A40" w:rsidP="00886184">
            <w:pPr>
              <w:widowControl w:val="0"/>
              <w:cnfStyle w:val="000000000000" w:firstRow="0" w:lastRow="0" w:firstColumn="0" w:lastColumn="0" w:oddVBand="0" w:evenVBand="0" w:oddHBand="0" w:evenHBand="0" w:firstRowFirstColumn="0" w:firstRowLastColumn="0" w:lastRowFirstColumn="0" w:lastRowLastColumn="0"/>
              <w:rPr>
                <w:sz w:val="20"/>
                <w:szCs w:val="20"/>
              </w:rPr>
            </w:pPr>
            <w:r w:rsidRPr="00D3536B">
              <w:rPr>
                <w:sz w:val="20"/>
                <w:szCs w:val="20"/>
              </w:rPr>
              <w:t xml:space="preserve">È dichiarato costituzionalmente illegittimo - per violazione degli artt. 3, 4, primo comma, e 35, primo comma, </w:t>
            </w:r>
            <w:proofErr w:type="spellStart"/>
            <w:r w:rsidRPr="00D3536B">
              <w:rPr>
                <w:sz w:val="20"/>
                <w:szCs w:val="20"/>
              </w:rPr>
              <w:t>Cost</w:t>
            </w:r>
            <w:proofErr w:type="spellEnd"/>
            <w:r w:rsidRPr="00D3536B">
              <w:rPr>
                <w:sz w:val="20"/>
                <w:szCs w:val="20"/>
              </w:rPr>
              <w:t>. - l</w:t>
            </w:r>
            <w:r>
              <w:rPr>
                <w:sz w:val="20"/>
                <w:szCs w:val="20"/>
              </w:rPr>
              <w:t>’</w:t>
            </w:r>
            <w:r w:rsidRPr="00D3536B">
              <w:rPr>
                <w:sz w:val="20"/>
                <w:szCs w:val="20"/>
              </w:rPr>
              <w:t>art. 4 del d.lgs. n. 23 del 2015, limitatamente alle parole «di importo pari a una mensilità dell</w:t>
            </w:r>
            <w:r>
              <w:rPr>
                <w:sz w:val="20"/>
                <w:szCs w:val="20"/>
              </w:rPr>
              <w:t>’</w:t>
            </w:r>
            <w:r w:rsidRPr="00D3536B">
              <w:rPr>
                <w:sz w:val="20"/>
                <w:szCs w:val="20"/>
              </w:rPr>
              <w:t>ultima retribuzione di riferimento per il calcolo del trattamento di fine rapporto per ogni anno di servizio». La norma</w:t>
            </w:r>
            <w:r>
              <w:rPr>
                <w:sz w:val="20"/>
                <w:szCs w:val="20"/>
              </w:rPr>
              <w:t xml:space="preserve">, </w:t>
            </w:r>
            <w:r w:rsidRPr="00D3536B">
              <w:rPr>
                <w:sz w:val="20"/>
                <w:szCs w:val="20"/>
              </w:rPr>
              <w:t>nel prevedere un criterio di commisurazione dell</w:t>
            </w:r>
            <w:r>
              <w:rPr>
                <w:sz w:val="20"/>
                <w:szCs w:val="20"/>
              </w:rPr>
              <w:t>’</w:t>
            </w:r>
            <w:r w:rsidRPr="00D3536B">
              <w:rPr>
                <w:sz w:val="20"/>
                <w:szCs w:val="20"/>
              </w:rPr>
              <w:t>indennità da corrispondere per i licenziamenti viziati sotto il profilo formale o procedurale ancorato in via esclusiva all</w:t>
            </w:r>
            <w:r>
              <w:rPr>
                <w:sz w:val="20"/>
                <w:szCs w:val="20"/>
              </w:rPr>
              <w:t>’</w:t>
            </w:r>
            <w:r w:rsidRPr="00D3536B">
              <w:rPr>
                <w:sz w:val="20"/>
                <w:szCs w:val="20"/>
              </w:rPr>
              <w:t>anzianità di servizio, determina un</w:t>
            </w:r>
            <w:r>
              <w:rPr>
                <w:sz w:val="20"/>
                <w:szCs w:val="20"/>
              </w:rPr>
              <w:t>’</w:t>
            </w:r>
            <w:r w:rsidRPr="00D3536B">
              <w:rPr>
                <w:sz w:val="20"/>
                <w:szCs w:val="20"/>
              </w:rPr>
              <w:t>indebita omologazione di situazioni profondamente diverse, accentua la marginalità dei vizi formali e procedurali e ne svaluta ancor più la funzione di garanzia e tutela della dignità della persona del lavoratore, soprattutto nei casi di modesta anzianità di servizio. Il giudice, pertanto, nel rispetto dei limiti minimo e massimo oggi fissati dal legislatore, determinerà l'indennità innanzitutto in base all'anzianità di servizio e, in chiave correttiva, con apprezzamento motivato, potrà ponderare anche altri criteri desumibili dal sistema, che concorrano a rendere la determinazione dell'indennità aderente alle particolarità del caso concreto, come la gravità delle violazioni, il numero degli occupati, le dimensioni dell'impresa, il comportamento e le condizioni delle parti. Spetta in ogni caso alla responsabilità del legislatore ricomporre secondo linee coerenti una normativa di importanza essenziale, che vede concorrere discipline eterogenee, frutto dell</w:t>
            </w:r>
            <w:r>
              <w:rPr>
                <w:sz w:val="20"/>
                <w:szCs w:val="20"/>
              </w:rPr>
              <w:t>’</w:t>
            </w:r>
            <w:r w:rsidRPr="00D3536B">
              <w:rPr>
                <w:sz w:val="20"/>
                <w:szCs w:val="20"/>
              </w:rPr>
              <w:t xml:space="preserve">avvicendarsi di interventi </w:t>
            </w:r>
            <w:r w:rsidRPr="00D3536B">
              <w:rPr>
                <w:sz w:val="20"/>
                <w:szCs w:val="20"/>
              </w:rPr>
              <w:lastRenderedPageBreak/>
              <w:t>frammentari</w:t>
            </w:r>
            <w:r>
              <w:rPr>
                <w:sz w:val="20"/>
                <w:szCs w:val="20"/>
              </w:rPr>
              <w:t>.</w:t>
            </w:r>
          </w:p>
          <w:p w14:paraId="6CA809CE" w14:textId="72468EB6" w:rsidR="00871A40" w:rsidRPr="00D3536B" w:rsidRDefault="00871A40" w:rsidP="00886184">
            <w:pPr>
              <w:widowControl w:val="0"/>
              <w:cnfStyle w:val="000000000000" w:firstRow="0" w:lastRow="0" w:firstColumn="0" w:lastColumn="0" w:oddVBand="0" w:evenVBand="0" w:oddHBand="0" w:evenHBand="0" w:firstRowFirstColumn="0" w:firstRowLastColumn="0" w:lastRowFirstColumn="0" w:lastRowLastColumn="0"/>
              <w:rPr>
                <w:sz w:val="20"/>
                <w:szCs w:val="20"/>
              </w:rPr>
            </w:pPr>
          </w:p>
        </w:tc>
      </w:tr>
      <w:tr w:rsidR="00871A40" w14:paraId="07663CC7" w14:textId="549295AA" w:rsidTr="00871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D37B41C" w14:textId="26F9DE42" w:rsidR="00871A40" w:rsidRDefault="00871A40" w:rsidP="00C214D9">
            <w:pPr>
              <w:widowControl w:val="0"/>
              <w:rPr>
                <w:b w:val="0"/>
                <w:bCs w:val="0"/>
                <w:sz w:val="20"/>
                <w:szCs w:val="20"/>
              </w:rPr>
            </w:pPr>
            <w:r>
              <w:rPr>
                <w:sz w:val="20"/>
                <w:szCs w:val="20"/>
              </w:rPr>
              <w:lastRenderedPageBreak/>
              <w:t>26 novembre 2020, n. 254</w:t>
            </w:r>
          </w:p>
          <w:p w14:paraId="5D058D62" w14:textId="77777777" w:rsidR="00871A40" w:rsidRPr="00D3536B" w:rsidRDefault="00871A40" w:rsidP="00C214D9">
            <w:pPr>
              <w:widowControl w:val="0"/>
              <w:rPr>
                <w:sz w:val="20"/>
                <w:szCs w:val="20"/>
              </w:rPr>
            </w:pPr>
            <w:r w:rsidRPr="00D3536B">
              <w:rPr>
                <w:b w:val="0"/>
                <w:bCs w:val="0"/>
                <w:sz w:val="20"/>
                <w:szCs w:val="20"/>
              </w:rPr>
              <w:t>(giudice relatore Silvana Sciarra)</w:t>
            </w:r>
          </w:p>
          <w:p w14:paraId="3683E3BD" w14:textId="70823F99" w:rsidR="00871A40" w:rsidRDefault="00871A40" w:rsidP="00C214D9">
            <w:pPr>
              <w:widowControl w:val="0"/>
              <w:rPr>
                <w:sz w:val="20"/>
                <w:szCs w:val="20"/>
              </w:rPr>
            </w:pPr>
          </w:p>
        </w:tc>
        <w:tc>
          <w:tcPr>
            <w:tcW w:w="2835" w:type="dxa"/>
          </w:tcPr>
          <w:p w14:paraId="72365434" w14:textId="77777777" w:rsidR="00871A40" w:rsidRDefault="00871A40" w:rsidP="00CC1CD4">
            <w:pPr>
              <w:widowControl w:val="0"/>
              <w:cnfStyle w:val="000000100000" w:firstRow="0" w:lastRow="0" w:firstColumn="0" w:lastColumn="0" w:oddVBand="0" w:evenVBand="0" w:oddHBand="1" w:evenHBand="0" w:firstRowFirstColumn="0" w:firstRowLastColumn="0" w:lastRowFirstColumn="0" w:lastRowLastColumn="0"/>
              <w:rPr>
                <w:b/>
                <w:bCs/>
                <w:sz w:val="20"/>
                <w:szCs w:val="20"/>
              </w:rPr>
            </w:pPr>
            <w:r w:rsidRPr="00542E70">
              <w:rPr>
                <w:b/>
                <w:bCs/>
                <w:sz w:val="20"/>
                <w:szCs w:val="20"/>
              </w:rPr>
              <w:t>artt. 1, 3 e 10 del d.lgs. n. 23 del 2015</w:t>
            </w:r>
          </w:p>
          <w:p w14:paraId="7CC499AE" w14:textId="5D2DEF26" w:rsidR="00CC1CD4" w:rsidRPr="00CC1CD4" w:rsidRDefault="00CC1CD4" w:rsidP="00CC1CD4">
            <w:pPr>
              <w:widowContro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(regime sanzionatorio per licenziamenti collettivi intimati in violazione delle procedure o dei criteri di scelta)</w:t>
            </w:r>
          </w:p>
        </w:tc>
        <w:tc>
          <w:tcPr>
            <w:tcW w:w="2835" w:type="dxa"/>
          </w:tcPr>
          <w:p w14:paraId="0F5E10BE" w14:textId="082DBECB" w:rsidR="00871A40" w:rsidRPr="00F61ADF" w:rsidRDefault="008A06DF" w:rsidP="00886184">
            <w:pPr>
              <w:widowContro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Dichiarata inammissibile la questione di costituzionalità sull’</w:t>
            </w:r>
            <w:r w:rsidRPr="00F61ADF">
              <w:rPr>
                <w:sz w:val="20"/>
                <w:szCs w:val="20"/>
              </w:rPr>
              <w:t xml:space="preserve">art. 1, comma 7, della legge n. 183 del 2014 e </w:t>
            </w:r>
            <w:r>
              <w:rPr>
                <w:sz w:val="20"/>
                <w:szCs w:val="20"/>
              </w:rPr>
              <w:t>sugli</w:t>
            </w:r>
            <w:r w:rsidRPr="00F61ADF">
              <w:rPr>
                <w:sz w:val="20"/>
                <w:szCs w:val="20"/>
              </w:rPr>
              <w:t xml:space="preserve"> artt. 1, 3 e 10 del d.lgs. n. 23 del 2015</w:t>
            </w:r>
          </w:p>
        </w:tc>
        <w:tc>
          <w:tcPr>
            <w:tcW w:w="5046" w:type="dxa"/>
          </w:tcPr>
          <w:p w14:paraId="1E6EEB60" w14:textId="18C31735" w:rsidR="00871A40" w:rsidRDefault="00871A40" w:rsidP="00886184">
            <w:pPr>
              <w:widowControl w:val="0"/>
              <w:cnfStyle w:val="000000100000" w:firstRow="0" w:lastRow="0" w:firstColumn="0" w:lastColumn="0" w:oddVBand="0" w:evenVBand="0" w:oddHBand="1" w:evenHBand="0" w:firstRowFirstColumn="0" w:firstRowLastColumn="0" w:lastRowFirstColumn="0" w:lastRowLastColumn="0"/>
              <w:rPr>
                <w:sz w:val="20"/>
                <w:szCs w:val="20"/>
              </w:rPr>
            </w:pPr>
            <w:r w:rsidRPr="00F61ADF">
              <w:rPr>
                <w:sz w:val="20"/>
                <w:szCs w:val="20"/>
              </w:rPr>
              <w:t xml:space="preserve">Sono dichiarate inammissibili, per insufficiente motivazione sulla rilevanza e ambiguità del </w:t>
            </w:r>
            <w:proofErr w:type="spellStart"/>
            <w:r w:rsidRPr="00F61ADF">
              <w:rPr>
                <w:i/>
                <w:iCs/>
                <w:sz w:val="20"/>
                <w:szCs w:val="20"/>
              </w:rPr>
              <w:t>petitum</w:t>
            </w:r>
            <w:proofErr w:type="spellEnd"/>
            <w:r w:rsidRPr="00F61ADF">
              <w:rPr>
                <w:sz w:val="20"/>
                <w:szCs w:val="20"/>
              </w:rPr>
              <w:t>, le questioni di legittimità costituzionale sollevate dalla Corte d</w:t>
            </w:r>
            <w:r>
              <w:rPr>
                <w:sz w:val="20"/>
                <w:szCs w:val="20"/>
              </w:rPr>
              <w:t>’</w:t>
            </w:r>
            <w:r w:rsidRPr="00F61ADF">
              <w:rPr>
                <w:sz w:val="20"/>
                <w:szCs w:val="20"/>
              </w:rPr>
              <w:t xml:space="preserve">appello di Napoli </w:t>
            </w:r>
            <w:r>
              <w:rPr>
                <w:sz w:val="20"/>
                <w:szCs w:val="20"/>
              </w:rPr>
              <w:t>sull’</w:t>
            </w:r>
            <w:r w:rsidRPr="00F61ADF">
              <w:rPr>
                <w:sz w:val="20"/>
                <w:szCs w:val="20"/>
              </w:rPr>
              <w:t>art. 1, comma 7, della legge n. 183 del 2014 e degli artt. 1, 3 e 10 del d.lgs. n. 23 del 2015, nella versione antecedente alle modifiche dettate dall</w:t>
            </w:r>
            <w:r>
              <w:rPr>
                <w:sz w:val="20"/>
                <w:szCs w:val="20"/>
              </w:rPr>
              <w:t>’</w:t>
            </w:r>
            <w:r w:rsidRPr="00F61ADF">
              <w:rPr>
                <w:sz w:val="20"/>
                <w:szCs w:val="20"/>
              </w:rPr>
              <w:t xml:space="preserve">art. 3, comma 1, del </w:t>
            </w:r>
            <w:proofErr w:type="spellStart"/>
            <w:r w:rsidRPr="00F61ADF">
              <w:rPr>
                <w:sz w:val="20"/>
                <w:szCs w:val="20"/>
              </w:rPr>
              <w:t>d.l.</w:t>
            </w:r>
            <w:proofErr w:type="spellEnd"/>
            <w:r w:rsidRPr="00F61ADF">
              <w:rPr>
                <w:sz w:val="20"/>
                <w:szCs w:val="20"/>
              </w:rPr>
              <w:t xml:space="preserve"> n. 87 del 2018, </w:t>
            </w:r>
            <w:proofErr w:type="spellStart"/>
            <w:r w:rsidRPr="00F61ADF">
              <w:rPr>
                <w:sz w:val="20"/>
                <w:szCs w:val="20"/>
              </w:rPr>
              <w:t>conv</w:t>
            </w:r>
            <w:proofErr w:type="spellEnd"/>
            <w:r w:rsidRPr="00F61ADF">
              <w:rPr>
                <w:sz w:val="20"/>
                <w:szCs w:val="20"/>
              </w:rPr>
              <w:t xml:space="preserve">. con </w:t>
            </w:r>
            <w:proofErr w:type="spellStart"/>
            <w:r w:rsidRPr="00F61ADF">
              <w:rPr>
                <w:sz w:val="20"/>
                <w:szCs w:val="20"/>
              </w:rPr>
              <w:t>modif</w:t>
            </w:r>
            <w:proofErr w:type="spellEnd"/>
            <w:r w:rsidRPr="00F61ADF">
              <w:rPr>
                <w:sz w:val="20"/>
                <w:szCs w:val="20"/>
              </w:rPr>
              <w:t>. nella legge n. 96 del 2018 che, con riguardo al contratto di lavoro a tempo indeterminato a tutele crescenti, prevedono, per le ipotesi di licenziamenti collettivi intimati in violazione delle procedure o dei criteri di scelta, il diritto ad una tutela esclusivamente monetaria. In ordine alla rilevanza, il giudice d</w:t>
            </w:r>
            <w:r>
              <w:rPr>
                <w:sz w:val="20"/>
                <w:szCs w:val="20"/>
              </w:rPr>
              <w:t>’</w:t>
            </w:r>
            <w:r w:rsidRPr="00F61ADF">
              <w:rPr>
                <w:sz w:val="20"/>
                <w:szCs w:val="20"/>
              </w:rPr>
              <w:t>appello trascura di descrivere la fattispecie concreta e di allegare, anche solo con un</w:t>
            </w:r>
            <w:r>
              <w:rPr>
                <w:sz w:val="20"/>
                <w:szCs w:val="20"/>
              </w:rPr>
              <w:t>’</w:t>
            </w:r>
            <w:r w:rsidRPr="00F61ADF">
              <w:rPr>
                <w:sz w:val="20"/>
                <w:szCs w:val="20"/>
              </w:rPr>
              <w:t xml:space="preserve">argomentazione non </w:t>
            </w:r>
            <w:proofErr w:type="spellStart"/>
            <w:r w:rsidRPr="00F61ADF">
              <w:rPr>
                <w:sz w:val="20"/>
                <w:szCs w:val="20"/>
              </w:rPr>
              <w:t>implausibile</w:t>
            </w:r>
            <w:proofErr w:type="spellEnd"/>
            <w:r w:rsidRPr="00F61ADF">
              <w:rPr>
                <w:sz w:val="20"/>
                <w:szCs w:val="20"/>
              </w:rPr>
              <w:t>, elementi idonei a corroborare l</w:t>
            </w:r>
            <w:r>
              <w:rPr>
                <w:sz w:val="20"/>
                <w:szCs w:val="20"/>
              </w:rPr>
              <w:t>’</w:t>
            </w:r>
            <w:r w:rsidRPr="00F61ADF">
              <w:rPr>
                <w:sz w:val="20"/>
                <w:szCs w:val="20"/>
              </w:rPr>
              <w:t>accoglimento dell</w:t>
            </w:r>
            <w:r>
              <w:rPr>
                <w:sz w:val="20"/>
                <w:szCs w:val="20"/>
              </w:rPr>
              <w:t>’</w:t>
            </w:r>
            <w:r w:rsidRPr="00F61ADF">
              <w:rPr>
                <w:sz w:val="20"/>
                <w:szCs w:val="20"/>
              </w:rPr>
              <w:t>impugnazione in virtù di una violazione dei criteri di scelta, che era già stata esclusa dal giudice di prime cure. È inoltre incerto l</w:t>
            </w:r>
            <w:r>
              <w:rPr>
                <w:sz w:val="20"/>
                <w:szCs w:val="20"/>
              </w:rPr>
              <w:t>’</w:t>
            </w:r>
            <w:r w:rsidRPr="00F61ADF">
              <w:rPr>
                <w:sz w:val="20"/>
                <w:szCs w:val="20"/>
              </w:rPr>
              <w:t>intervento richiesto poiché, dalla formulazione delle censure, non è dato comprendere se il rimettente prefiguri una pronuncia ablativa o manipolativa ed inoltre permane l</w:t>
            </w:r>
            <w:r>
              <w:rPr>
                <w:sz w:val="20"/>
                <w:szCs w:val="20"/>
              </w:rPr>
              <w:t>’</w:t>
            </w:r>
            <w:r w:rsidRPr="00F61ADF">
              <w:rPr>
                <w:sz w:val="20"/>
                <w:szCs w:val="20"/>
              </w:rPr>
              <w:t xml:space="preserve">alternativa - che comunque investe le scelte eminentemente discrezionali del legislatore - tra il ripristino puro e semplice della tutela </w:t>
            </w:r>
            <w:proofErr w:type="spellStart"/>
            <w:r w:rsidRPr="00F61ADF">
              <w:rPr>
                <w:sz w:val="20"/>
                <w:szCs w:val="20"/>
              </w:rPr>
              <w:t>reintegratoria</w:t>
            </w:r>
            <w:proofErr w:type="spellEnd"/>
            <w:r w:rsidRPr="00F61ADF">
              <w:rPr>
                <w:sz w:val="20"/>
                <w:szCs w:val="20"/>
              </w:rPr>
              <w:t xml:space="preserve"> o la rimodulazione della tutela indennitaria, in una più accentuata chiave deterrente</w:t>
            </w:r>
            <w:r>
              <w:rPr>
                <w:sz w:val="20"/>
                <w:szCs w:val="20"/>
              </w:rPr>
              <w:t xml:space="preserve">. </w:t>
            </w:r>
          </w:p>
          <w:p w14:paraId="1D48A81E" w14:textId="21463BC0" w:rsidR="00871A40" w:rsidRPr="00D3536B" w:rsidRDefault="00871A40" w:rsidP="00886184">
            <w:pPr>
              <w:widowControl w:val="0"/>
              <w:cnfStyle w:val="000000100000" w:firstRow="0" w:lastRow="0" w:firstColumn="0" w:lastColumn="0" w:oddVBand="0" w:evenVBand="0" w:oddHBand="1" w:evenHBand="0" w:firstRowFirstColumn="0" w:firstRowLastColumn="0" w:lastRowFirstColumn="0" w:lastRowLastColumn="0"/>
              <w:rPr>
                <w:sz w:val="20"/>
                <w:szCs w:val="20"/>
              </w:rPr>
            </w:pPr>
          </w:p>
        </w:tc>
      </w:tr>
      <w:tr w:rsidR="00871A40" w14:paraId="296D5BEB" w14:textId="7665161E" w:rsidTr="00871A40">
        <w:tc>
          <w:tcPr>
            <w:cnfStyle w:val="001000000000" w:firstRow="0" w:lastRow="0" w:firstColumn="1" w:lastColumn="0" w:oddVBand="0" w:evenVBand="0" w:oddHBand="0" w:evenHBand="0" w:firstRowFirstColumn="0" w:firstRowLastColumn="0" w:lastRowFirstColumn="0" w:lastRowLastColumn="0"/>
            <w:tcW w:w="2689" w:type="dxa"/>
          </w:tcPr>
          <w:p w14:paraId="753BF9BF" w14:textId="65AA1E19" w:rsidR="00871A40" w:rsidRDefault="00871A40" w:rsidP="00C214D9">
            <w:pPr>
              <w:widowControl w:val="0"/>
              <w:rPr>
                <w:b w:val="0"/>
                <w:bCs w:val="0"/>
                <w:sz w:val="20"/>
                <w:szCs w:val="20"/>
              </w:rPr>
            </w:pPr>
            <w:r>
              <w:rPr>
                <w:sz w:val="20"/>
                <w:szCs w:val="20"/>
              </w:rPr>
              <w:t>7 maggio 2021, n. 93</w:t>
            </w:r>
          </w:p>
          <w:p w14:paraId="44AC99D8" w14:textId="3E8BB043" w:rsidR="00871A40" w:rsidRPr="00C340CB" w:rsidRDefault="00871A40" w:rsidP="00C214D9">
            <w:pPr>
              <w:widowControl w:val="0"/>
              <w:rPr>
                <w:sz w:val="20"/>
                <w:szCs w:val="20"/>
              </w:rPr>
            </w:pPr>
            <w:r w:rsidRPr="00D3536B">
              <w:rPr>
                <w:b w:val="0"/>
                <w:bCs w:val="0"/>
                <w:sz w:val="20"/>
                <w:szCs w:val="20"/>
              </w:rPr>
              <w:t>(giudice relatore Silvana Sciarra)</w:t>
            </w:r>
          </w:p>
          <w:p w14:paraId="177899EE" w14:textId="636C169E" w:rsidR="00871A40" w:rsidRDefault="00871A40" w:rsidP="00C214D9">
            <w:pPr>
              <w:widowControl w:val="0"/>
              <w:rPr>
                <w:sz w:val="20"/>
                <w:szCs w:val="20"/>
              </w:rPr>
            </w:pPr>
          </w:p>
        </w:tc>
        <w:tc>
          <w:tcPr>
            <w:tcW w:w="2835" w:type="dxa"/>
          </w:tcPr>
          <w:p w14:paraId="5DA843B9" w14:textId="77777777" w:rsidR="00871A40" w:rsidRDefault="00871A40" w:rsidP="00C214D9">
            <w:pPr>
              <w:widowControl w:val="0"/>
              <w:cnfStyle w:val="000000000000" w:firstRow="0" w:lastRow="0" w:firstColumn="0" w:lastColumn="0" w:oddVBand="0" w:evenVBand="0" w:oddHBand="0" w:evenHBand="0" w:firstRowFirstColumn="0" w:firstRowLastColumn="0" w:lastRowFirstColumn="0" w:lastRowLastColumn="0"/>
              <w:rPr>
                <w:b/>
                <w:bCs/>
                <w:sz w:val="20"/>
                <w:szCs w:val="20"/>
              </w:rPr>
            </w:pPr>
            <w:r w:rsidRPr="00542E70">
              <w:rPr>
                <w:b/>
                <w:bCs/>
                <w:sz w:val="20"/>
                <w:szCs w:val="20"/>
              </w:rPr>
              <w:t>art. 4 del d.lgs. n. 23 del 201</w:t>
            </w:r>
            <w:r>
              <w:rPr>
                <w:b/>
                <w:bCs/>
                <w:sz w:val="20"/>
                <w:szCs w:val="20"/>
              </w:rPr>
              <w:t>5</w:t>
            </w:r>
          </w:p>
          <w:p w14:paraId="08B5EBAC" w14:textId="1B3B0313" w:rsidR="00C214D9" w:rsidRPr="00C214D9" w:rsidRDefault="00C214D9" w:rsidP="00C214D9">
            <w:pPr>
              <w:widowControl w:val="0"/>
              <w:cnfStyle w:val="000000000000" w:firstRow="0" w:lastRow="0" w:firstColumn="0" w:lastColumn="0" w:oddVBand="0" w:evenVBand="0" w:oddHBand="0" w:evenHBand="0" w:firstRowFirstColumn="0" w:firstRowLastColumn="0" w:lastRowFirstColumn="0" w:lastRowLastColumn="0"/>
              <w:rPr>
                <w:sz w:val="20"/>
                <w:szCs w:val="20"/>
              </w:rPr>
            </w:pPr>
            <w:r w:rsidRPr="00D3536B">
              <w:rPr>
                <w:sz w:val="20"/>
                <w:szCs w:val="20"/>
              </w:rPr>
              <w:t>(</w:t>
            </w:r>
            <w:r>
              <w:rPr>
                <w:sz w:val="20"/>
                <w:szCs w:val="20"/>
              </w:rPr>
              <w:t>criteri per la determinazione dell’indennità risarcitoria a fronte di un licenziamento viziato per ragioni di forma o procedurali</w:t>
            </w:r>
            <w:r w:rsidRPr="00D3536B">
              <w:rPr>
                <w:sz w:val="20"/>
                <w:szCs w:val="20"/>
              </w:rPr>
              <w:t>)</w:t>
            </w:r>
          </w:p>
        </w:tc>
        <w:tc>
          <w:tcPr>
            <w:tcW w:w="2835" w:type="dxa"/>
          </w:tcPr>
          <w:p w14:paraId="08644AE2" w14:textId="46E4E57D" w:rsidR="00871A40" w:rsidRPr="00632141" w:rsidRDefault="00D73237" w:rsidP="00886184">
            <w:pPr>
              <w:widowControl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w:t>
            </w:r>
            <w:r w:rsidRPr="00D73237">
              <w:rPr>
                <w:sz w:val="20"/>
                <w:szCs w:val="20"/>
              </w:rPr>
              <w:t>ichiara</w:t>
            </w:r>
            <w:r>
              <w:rPr>
                <w:sz w:val="20"/>
                <w:szCs w:val="20"/>
              </w:rPr>
              <w:t>ta</w:t>
            </w:r>
            <w:r w:rsidRPr="00D73237">
              <w:rPr>
                <w:sz w:val="20"/>
                <w:szCs w:val="20"/>
              </w:rPr>
              <w:t xml:space="preserve"> manifestamente inammissibile, per sopravvenuta carenza di oggetto, la questione di legittimità costituzionale</w:t>
            </w:r>
            <w:r>
              <w:rPr>
                <w:sz w:val="20"/>
                <w:szCs w:val="20"/>
              </w:rPr>
              <w:t xml:space="preserve"> </w:t>
            </w:r>
            <w:r w:rsidRPr="00D73237">
              <w:rPr>
                <w:sz w:val="20"/>
                <w:szCs w:val="20"/>
              </w:rPr>
              <w:t>dell</w:t>
            </w:r>
            <w:r w:rsidR="00B53205">
              <w:rPr>
                <w:sz w:val="20"/>
                <w:szCs w:val="20"/>
              </w:rPr>
              <w:t>’</w:t>
            </w:r>
            <w:r w:rsidRPr="00D73237">
              <w:rPr>
                <w:sz w:val="20"/>
                <w:szCs w:val="20"/>
              </w:rPr>
              <w:t>art. 4 del d.lgs. n. 23 del 2015</w:t>
            </w:r>
          </w:p>
        </w:tc>
        <w:tc>
          <w:tcPr>
            <w:tcW w:w="5046" w:type="dxa"/>
          </w:tcPr>
          <w:p w14:paraId="5A11A502" w14:textId="08871FAF" w:rsidR="00871A40" w:rsidRDefault="00871A40" w:rsidP="00886184">
            <w:pPr>
              <w:widowControl w:val="0"/>
              <w:cnfStyle w:val="000000000000" w:firstRow="0" w:lastRow="0" w:firstColumn="0" w:lastColumn="0" w:oddVBand="0" w:evenVBand="0" w:oddHBand="0" w:evenHBand="0" w:firstRowFirstColumn="0" w:firstRowLastColumn="0" w:lastRowFirstColumn="0" w:lastRowLastColumn="0"/>
              <w:rPr>
                <w:sz w:val="20"/>
                <w:szCs w:val="20"/>
              </w:rPr>
            </w:pPr>
            <w:r w:rsidRPr="00632141">
              <w:rPr>
                <w:sz w:val="20"/>
                <w:szCs w:val="20"/>
              </w:rPr>
              <w:t>Nel giudizio di legittimità costituzionale dell</w:t>
            </w:r>
            <w:r>
              <w:rPr>
                <w:sz w:val="20"/>
                <w:szCs w:val="20"/>
              </w:rPr>
              <w:t>’</w:t>
            </w:r>
            <w:r w:rsidRPr="00632141">
              <w:rPr>
                <w:sz w:val="20"/>
                <w:szCs w:val="20"/>
              </w:rPr>
              <w:t>art. 4 del d.lgs. n. 23 del 2015, non può essere presa in esame la richiesta della parte costituita di dichiarare costituzionalmente illegittima, in via consequenziale, la previsione dell</w:t>
            </w:r>
            <w:r w:rsidR="00B53205">
              <w:rPr>
                <w:sz w:val="20"/>
                <w:szCs w:val="20"/>
              </w:rPr>
              <w:t>’</w:t>
            </w:r>
            <w:r w:rsidRPr="00632141">
              <w:rPr>
                <w:sz w:val="20"/>
                <w:szCs w:val="20"/>
              </w:rPr>
              <w:t>ammontare massimo dell</w:t>
            </w:r>
            <w:r>
              <w:rPr>
                <w:sz w:val="20"/>
                <w:szCs w:val="20"/>
              </w:rPr>
              <w:t>’</w:t>
            </w:r>
            <w:r w:rsidRPr="00632141">
              <w:rPr>
                <w:sz w:val="20"/>
                <w:szCs w:val="20"/>
              </w:rPr>
              <w:t>indennità risarcitoria spettante per i licenziamenti viziati dal punto di vista formale o procedurale. Tale richiesta sottende una diversa questione e mira ad ampliare irritualmente il tema del decidere, così come delimitato dall</w:t>
            </w:r>
            <w:r>
              <w:rPr>
                <w:sz w:val="20"/>
                <w:szCs w:val="20"/>
              </w:rPr>
              <w:t>’</w:t>
            </w:r>
            <w:r w:rsidRPr="00632141">
              <w:rPr>
                <w:sz w:val="20"/>
                <w:szCs w:val="20"/>
              </w:rPr>
              <w:t>ordinanza di rimessione, ove le censure del giudice a quo si appuntano sul meccanismo di determinazione dell</w:t>
            </w:r>
            <w:r>
              <w:rPr>
                <w:sz w:val="20"/>
                <w:szCs w:val="20"/>
              </w:rPr>
              <w:t>’</w:t>
            </w:r>
            <w:r w:rsidRPr="00632141">
              <w:rPr>
                <w:sz w:val="20"/>
                <w:szCs w:val="20"/>
              </w:rPr>
              <w:t xml:space="preserve">indennità e non </w:t>
            </w:r>
            <w:r w:rsidRPr="00632141">
              <w:rPr>
                <w:sz w:val="20"/>
                <w:szCs w:val="20"/>
              </w:rPr>
              <w:lastRenderedPageBreak/>
              <w:t>sull</w:t>
            </w:r>
            <w:r>
              <w:rPr>
                <w:sz w:val="20"/>
                <w:szCs w:val="20"/>
              </w:rPr>
              <w:t>’</w:t>
            </w:r>
            <w:r w:rsidRPr="00632141">
              <w:rPr>
                <w:sz w:val="20"/>
                <w:szCs w:val="20"/>
              </w:rPr>
              <w:t>ammontare - minimo e massimo - determinato dal legislatore</w:t>
            </w:r>
            <w:r>
              <w:rPr>
                <w:sz w:val="20"/>
                <w:szCs w:val="20"/>
              </w:rPr>
              <w:t xml:space="preserve">. </w:t>
            </w:r>
          </w:p>
          <w:p w14:paraId="461EDF67" w14:textId="0DFDBB93" w:rsidR="00871A40" w:rsidRPr="00F61ADF" w:rsidRDefault="00871A40" w:rsidP="00886184">
            <w:pPr>
              <w:widowControl w:val="0"/>
              <w:cnfStyle w:val="000000000000" w:firstRow="0" w:lastRow="0" w:firstColumn="0" w:lastColumn="0" w:oddVBand="0" w:evenVBand="0" w:oddHBand="0" w:evenHBand="0" w:firstRowFirstColumn="0" w:firstRowLastColumn="0" w:lastRowFirstColumn="0" w:lastRowLastColumn="0"/>
              <w:rPr>
                <w:sz w:val="20"/>
                <w:szCs w:val="20"/>
              </w:rPr>
            </w:pPr>
          </w:p>
        </w:tc>
      </w:tr>
      <w:tr w:rsidR="00871A40" w14:paraId="18963207" w14:textId="06FF6182" w:rsidTr="00871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1B36ABA" w14:textId="6149D0A2" w:rsidR="00871A40" w:rsidRDefault="00871A40" w:rsidP="00B53205">
            <w:pPr>
              <w:widowControl w:val="0"/>
              <w:rPr>
                <w:b w:val="0"/>
                <w:bCs w:val="0"/>
                <w:sz w:val="20"/>
                <w:szCs w:val="20"/>
              </w:rPr>
            </w:pPr>
            <w:r>
              <w:rPr>
                <w:sz w:val="20"/>
                <w:szCs w:val="20"/>
              </w:rPr>
              <w:lastRenderedPageBreak/>
              <w:t>22 luglio 2022, n. 183</w:t>
            </w:r>
          </w:p>
          <w:p w14:paraId="4B123E42" w14:textId="77777777" w:rsidR="00871A40" w:rsidRPr="00C340CB" w:rsidRDefault="00871A40" w:rsidP="00B53205">
            <w:pPr>
              <w:widowControl w:val="0"/>
              <w:rPr>
                <w:sz w:val="20"/>
                <w:szCs w:val="20"/>
              </w:rPr>
            </w:pPr>
            <w:r w:rsidRPr="00D3536B">
              <w:rPr>
                <w:b w:val="0"/>
                <w:bCs w:val="0"/>
                <w:sz w:val="20"/>
                <w:szCs w:val="20"/>
              </w:rPr>
              <w:t>(giudice relatore Silvana Sciarra)</w:t>
            </w:r>
          </w:p>
          <w:p w14:paraId="5D188070" w14:textId="550A018C" w:rsidR="00871A40" w:rsidRDefault="00871A40" w:rsidP="00C340CB">
            <w:pPr>
              <w:widowControl w:val="0"/>
              <w:jc w:val="both"/>
              <w:rPr>
                <w:sz w:val="20"/>
                <w:szCs w:val="20"/>
              </w:rPr>
            </w:pPr>
          </w:p>
        </w:tc>
        <w:tc>
          <w:tcPr>
            <w:tcW w:w="2835" w:type="dxa"/>
          </w:tcPr>
          <w:p w14:paraId="2B0D15FE" w14:textId="77777777" w:rsidR="00871A40" w:rsidRDefault="00871A40" w:rsidP="00B53205">
            <w:pPr>
              <w:widowControl w:val="0"/>
              <w:cnfStyle w:val="000000100000" w:firstRow="0" w:lastRow="0" w:firstColumn="0" w:lastColumn="0" w:oddVBand="0" w:evenVBand="0" w:oddHBand="1" w:evenHBand="0" w:firstRowFirstColumn="0" w:firstRowLastColumn="0" w:lastRowFirstColumn="0" w:lastRowLastColumn="0"/>
              <w:rPr>
                <w:b/>
                <w:bCs/>
                <w:sz w:val="20"/>
                <w:szCs w:val="20"/>
              </w:rPr>
            </w:pPr>
            <w:r w:rsidRPr="00542E70">
              <w:rPr>
                <w:b/>
                <w:bCs/>
                <w:sz w:val="20"/>
                <w:szCs w:val="20"/>
              </w:rPr>
              <w:t xml:space="preserve">art. </w:t>
            </w:r>
            <w:r>
              <w:rPr>
                <w:b/>
                <w:bCs/>
                <w:sz w:val="20"/>
                <w:szCs w:val="20"/>
              </w:rPr>
              <w:t>9, comma 1,</w:t>
            </w:r>
            <w:r w:rsidRPr="00542E70">
              <w:rPr>
                <w:b/>
                <w:bCs/>
                <w:sz w:val="20"/>
                <w:szCs w:val="20"/>
              </w:rPr>
              <w:t xml:space="preserve"> del d.lgs. n. 23 del 201</w:t>
            </w:r>
            <w:r>
              <w:rPr>
                <w:b/>
                <w:bCs/>
                <w:sz w:val="20"/>
                <w:szCs w:val="20"/>
              </w:rPr>
              <w:t>5</w:t>
            </w:r>
          </w:p>
          <w:p w14:paraId="10044093" w14:textId="3E8B3774" w:rsidR="00B53205" w:rsidRPr="00B53205" w:rsidRDefault="00B53205" w:rsidP="00B53205">
            <w:pPr>
              <w:widowContro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(regime sanzionatorio per licenziamenti </w:t>
            </w:r>
            <w:r w:rsidR="00F12A1F">
              <w:rPr>
                <w:sz w:val="20"/>
                <w:szCs w:val="20"/>
              </w:rPr>
              <w:t>illegittimi intimati nelle imprese con meno di 15 dipendenti</w:t>
            </w:r>
            <w:r>
              <w:rPr>
                <w:sz w:val="20"/>
                <w:szCs w:val="20"/>
              </w:rPr>
              <w:t>)</w:t>
            </w:r>
          </w:p>
        </w:tc>
        <w:tc>
          <w:tcPr>
            <w:tcW w:w="2835" w:type="dxa"/>
          </w:tcPr>
          <w:p w14:paraId="3B754C21" w14:textId="24F553C3" w:rsidR="00871A40" w:rsidRPr="00632141" w:rsidRDefault="00B53205" w:rsidP="00886184">
            <w:pPr>
              <w:widowContro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Dichiarata</w:t>
            </w:r>
            <w:r w:rsidRPr="00632141">
              <w:rPr>
                <w:sz w:val="20"/>
                <w:szCs w:val="20"/>
              </w:rPr>
              <w:t xml:space="preserve"> </w:t>
            </w:r>
            <w:r>
              <w:rPr>
                <w:sz w:val="20"/>
                <w:szCs w:val="20"/>
              </w:rPr>
              <w:t>inammissibile la questione di costituzionalità sull’</w:t>
            </w:r>
            <w:r w:rsidRPr="00F61ADF">
              <w:rPr>
                <w:sz w:val="20"/>
                <w:szCs w:val="20"/>
              </w:rPr>
              <w:t xml:space="preserve">art. </w:t>
            </w:r>
            <w:r>
              <w:rPr>
                <w:sz w:val="20"/>
                <w:szCs w:val="20"/>
              </w:rPr>
              <w:t>9</w:t>
            </w:r>
            <w:r w:rsidRPr="00F61ADF">
              <w:rPr>
                <w:sz w:val="20"/>
                <w:szCs w:val="20"/>
              </w:rPr>
              <w:t xml:space="preserve">, comma </w:t>
            </w:r>
            <w:r>
              <w:rPr>
                <w:sz w:val="20"/>
                <w:szCs w:val="20"/>
              </w:rPr>
              <w:t>1</w:t>
            </w:r>
            <w:r w:rsidRPr="00F61ADF">
              <w:rPr>
                <w:sz w:val="20"/>
                <w:szCs w:val="20"/>
              </w:rPr>
              <w:t xml:space="preserve">, </w:t>
            </w:r>
            <w:r w:rsidRPr="00D73237">
              <w:rPr>
                <w:sz w:val="20"/>
                <w:szCs w:val="20"/>
              </w:rPr>
              <w:t>del d.lgs. n. 23 del 2015</w:t>
            </w:r>
          </w:p>
        </w:tc>
        <w:tc>
          <w:tcPr>
            <w:tcW w:w="5046" w:type="dxa"/>
          </w:tcPr>
          <w:p w14:paraId="5655E79C" w14:textId="0A997049" w:rsidR="00871A40" w:rsidRDefault="00871A40" w:rsidP="00886184">
            <w:pPr>
              <w:widowControl w:val="0"/>
              <w:cnfStyle w:val="000000100000" w:firstRow="0" w:lastRow="0" w:firstColumn="0" w:lastColumn="0" w:oddVBand="0" w:evenVBand="0" w:oddHBand="1" w:evenHBand="0" w:firstRowFirstColumn="0" w:firstRowLastColumn="0" w:lastRowFirstColumn="0" w:lastRowLastColumn="0"/>
              <w:rPr>
                <w:sz w:val="20"/>
                <w:szCs w:val="20"/>
              </w:rPr>
            </w:pPr>
            <w:r w:rsidRPr="00632141">
              <w:rPr>
                <w:sz w:val="20"/>
                <w:szCs w:val="20"/>
              </w:rPr>
              <w:t xml:space="preserve">Sono dichiarate inammissibili, per richiesta di intervento implicante scelte affidate alla discrezionalità del legislatore, le questioni di legittimità costituzionale </w:t>
            </w:r>
            <w:r>
              <w:rPr>
                <w:sz w:val="20"/>
                <w:szCs w:val="20"/>
              </w:rPr>
              <w:t>relative a</w:t>
            </w:r>
            <w:r w:rsidRPr="00632141">
              <w:rPr>
                <w:sz w:val="20"/>
                <w:szCs w:val="20"/>
              </w:rPr>
              <w:t>ll</w:t>
            </w:r>
            <w:r>
              <w:rPr>
                <w:sz w:val="20"/>
                <w:szCs w:val="20"/>
              </w:rPr>
              <w:t>’</w:t>
            </w:r>
            <w:r w:rsidRPr="00632141">
              <w:rPr>
                <w:sz w:val="20"/>
                <w:szCs w:val="20"/>
              </w:rPr>
              <w:t>art. 9, comma 1, del d.lgs. n. 23 del 2015, in base al quale, per i lavoratori assunti con contratto di lavoro a tempo indeterminato a tutele crescenti, nell</w:t>
            </w:r>
            <w:r>
              <w:rPr>
                <w:sz w:val="20"/>
                <w:szCs w:val="20"/>
              </w:rPr>
              <w:t>’</w:t>
            </w:r>
            <w:r w:rsidRPr="00632141">
              <w:rPr>
                <w:sz w:val="20"/>
                <w:szCs w:val="20"/>
              </w:rPr>
              <w:t>ipotesi di licenziamento illegittimo intimato da datori di lavoro che non possiedono i requisiti dimensionali di cui all</w:t>
            </w:r>
            <w:r>
              <w:rPr>
                <w:sz w:val="20"/>
                <w:szCs w:val="20"/>
              </w:rPr>
              <w:t>’</w:t>
            </w:r>
            <w:r w:rsidRPr="00632141">
              <w:rPr>
                <w:sz w:val="20"/>
                <w:szCs w:val="20"/>
              </w:rPr>
              <w:t xml:space="preserve">art. 18, commi </w:t>
            </w:r>
            <w:r>
              <w:rPr>
                <w:sz w:val="20"/>
                <w:szCs w:val="20"/>
              </w:rPr>
              <w:t>8 e 9</w:t>
            </w:r>
            <w:r w:rsidRPr="00632141">
              <w:rPr>
                <w:sz w:val="20"/>
                <w:szCs w:val="20"/>
              </w:rPr>
              <w:t>, della legge n. 300 del 1970 (statuto dei lavoratori), l</w:t>
            </w:r>
            <w:r>
              <w:rPr>
                <w:sz w:val="20"/>
                <w:szCs w:val="20"/>
              </w:rPr>
              <w:t>’</w:t>
            </w:r>
            <w:r w:rsidRPr="00632141">
              <w:rPr>
                <w:sz w:val="20"/>
                <w:szCs w:val="20"/>
              </w:rPr>
              <w:t>ammontare delle indennità è dimezzato e non può in ogni caso superare il limite di sei mensilità. La norma censurata si caratterizza per alcune disarmonie che traggono origine, per un verso, dall</w:t>
            </w:r>
            <w:r>
              <w:rPr>
                <w:sz w:val="20"/>
                <w:szCs w:val="20"/>
              </w:rPr>
              <w:t>’</w:t>
            </w:r>
            <w:r w:rsidRPr="00632141">
              <w:rPr>
                <w:sz w:val="20"/>
                <w:szCs w:val="20"/>
              </w:rPr>
              <w:t>esiguità dell</w:t>
            </w:r>
            <w:r>
              <w:rPr>
                <w:sz w:val="20"/>
                <w:szCs w:val="20"/>
              </w:rPr>
              <w:t>’</w:t>
            </w:r>
            <w:r w:rsidRPr="00632141">
              <w:rPr>
                <w:sz w:val="20"/>
                <w:szCs w:val="20"/>
              </w:rPr>
              <w:t>intervallo tra l</w:t>
            </w:r>
            <w:r>
              <w:rPr>
                <w:sz w:val="20"/>
                <w:szCs w:val="20"/>
              </w:rPr>
              <w:t>’</w:t>
            </w:r>
            <w:r w:rsidRPr="00632141">
              <w:rPr>
                <w:sz w:val="20"/>
                <w:szCs w:val="20"/>
              </w:rPr>
              <w:t>importo minimo e quello massimo dell</w:t>
            </w:r>
            <w:r>
              <w:rPr>
                <w:sz w:val="20"/>
                <w:szCs w:val="20"/>
              </w:rPr>
              <w:t>’</w:t>
            </w:r>
            <w:r w:rsidRPr="00632141">
              <w:rPr>
                <w:sz w:val="20"/>
                <w:szCs w:val="20"/>
              </w:rPr>
              <w:t>indennità e, per altro verso, dal criterio distintivo individuato dal legislatore, che si incardina sul numero degli occupati. Quanto al primo profilo, un</w:t>
            </w:r>
            <w:r>
              <w:rPr>
                <w:sz w:val="20"/>
                <w:szCs w:val="20"/>
              </w:rPr>
              <w:t>’</w:t>
            </w:r>
            <w:r w:rsidRPr="00632141">
              <w:rPr>
                <w:sz w:val="20"/>
                <w:szCs w:val="20"/>
              </w:rPr>
              <w:t>indennità costretta entro l</w:t>
            </w:r>
            <w:r>
              <w:rPr>
                <w:sz w:val="20"/>
                <w:szCs w:val="20"/>
              </w:rPr>
              <w:t>’</w:t>
            </w:r>
            <w:r w:rsidRPr="00632141">
              <w:rPr>
                <w:sz w:val="20"/>
                <w:szCs w:val="20"/>
              </w:rPr>
              <w:t>esiguo divario tra un minimo di tre e un massimo di sei mensilità vanifica l</w:t>
            </w:r>
            <w:r>
              <w:rPr>
                <w:sz w:val="20"/>
                <w:szCs w:val="20"/>
              </w:rPr>
              <w:t>’</w:t>
            </w:r>
            <w:r w:rsidRPr="00632141">
              <w:rPr>
                <w:sz w:val="20"/>
                <w:szCs w:val="20"/>
              </w:rPr>
              <w:t>esigenza di adeguarne l</w:t>
            </w:r>
            <w:r>
              <w:rPr>
                <w:sz w:val="20"/>
                <w:szCs w:val="20"/>
              </w:rPr>
              <w:t>’</w:t>
            </w:r>
            <w:r w:rsidRPr="00632141">
              <w:rPr>
                <w:sz w:val="20"/>
                <w:szCs w:val="20"/>
              </w:rPr>
              <w:t>importo alla specificità di ogni singola vicenda, nella prospettiva di un congruo ristoro e di un</w:t>
            </w:r>
            <w:r>
              <w:rPr>
                <w:sz w:val="20"/>
                <w:szCs w:val="20"/>
              </w:rPr>
              <w:t>’</w:t>
            </w:r>
            <w:r w:rsidRPr="00632141">
              <w:rPr>
                <w:sz w:val="20"/>
                <w:szCs w:val="20"/>
              </w:rPr>
              <w:t>efficace deterrenza. Quanto al secondo profilo, il limitato scarto tra il minimo e il massimo determinati dalla legge conferisce un rilievo preponderante, se non esclusivo, al numero dei dipendenti, quando invece oggi tale criterio, in un quadro dominato dall</w:t>
            </w:r>
            <w:r>
              <w:rPr>
                <w:sz w:val="20"/>
                <w:szCs w:val="20"/>
              </w:rPr>
              <w:t>’</w:t>
            </w:r>
            <w:r w:rsidRPr="00632141">
              <w:rPr>
                <w:sz w:val="20"/>
                <w:szCs w:val="20"/>
              </w:rPr>
              <w:t>incessante evoluzione della tecnologia e dalla trasformazione dei processi produttivi, non è più indicativo della effettiva forza economica del datore di lavoro, né rispecchia la gravità del licenziamento arbitrario e neppure fornisce parametri plausibili per una liquidazione del danno che si approssimi alle particolarità delle vicende concrete. Tuttavia, spetta alla valutazione discrezionale del legislatore la scelta delle soluzioni più appropriate per garantire tutele adeguate, fermo restando che un ulteriore protrarsi dell</w:t>
            </w:r>
            <w:r>
              <w:rPr>
                <w:sz w:val="20"/>
                <w:szCs w:val="20"/>
              </w:rPr>
              <w:t>’</w:t>
            </w:r>
            <w:r w:rsidRPr="00632141">
              <w:rPr>
                <w:sz w:val="20"/>
                <w:szCs w:val="20"/>
              </w:rPr>
              <w:t>inerzia legislativa non sarebbe tollerabile e indurrebbe la Corte costituzionale, ove nuovamente investita, a provvedere direttamente</w:t>
            </w:r>
            <w:r>
              <w:rPr>
                <w:sz w:val="20"/>
                <w:szCs w:val="20"/>
              </w:rPr>
              <w:t xml:space="preserve">. </w:t>
            </w:r>
          </w:p>
          <w:p w14:paraId="0E2E12DC" w14:textId="56214B63" w:rsidR="00871A40" w:rsidRPr="00632141" w:rsidRDefault="00871A40" w:rsidP="00886184">
            <w:pPr>
              <w:widowControl w:val="0"/>
              <w:cnfStyle w:val="000000100000" w:firstRow="0" w:lastRow="0" w:firstColumn="0" w:lastColumn="0" w:oddVBand="0" w:evenVBand="0" w:oddHBand="1" w:evenHBand="0" w:firstRowFirstColumn="0" w:firstRowLastColumn="0" w:lastRowFirstColumn="0" w:lastRowLastColumn="0"/>
              <w:rPr>
                <w:sz w:val="20"/>
                <w:szCs w:val="20"/>
              </w:rPr>
            </w:pPr>
          </w:p>
        </w:tc>
      </w:tr>
      <w:tr w:rsidR="00871A40" w14:paraId="37BA7CDB" w14:textId="24904CC8" w:rsidTr="00871A40">
        <w:tc>
          <w:tcPr>
            <w:cnfStyle w:val="001000000000" w:firstRow="0" w:lastRow="0" w:firstColumn="1" w:lastColumn="0" w:oddVBand="0" w:evenVBand="0" w:oddHBand="0" w:evenHBand="0" w:firstRowFirstColumn="0" w:firstRowLastColumn="0" w:lastRowFirstColumn="0" w:lastRowLastColumn="0"/>
            <w:tcW w:w="2689" w:type="dxa"/>
          </w:tcPr>
          <w:p w14:paraId="6E1AE4DE" w14:textId="3E229291" w:rsidR="00871A40" w:rsidRDefault="00871A40" w:rsidP="00445CEA">
            <w:pPr>
              <w:widowControl w:val="0"/>
              <w:rPr>
                <w:b w:val="0"/>
                <w:bCs w:val="0"/>
                <w:sz w:val="20"/>
                <w:szCs w:val="20"/>
              </w:rPr>
            </w:pPr>
            <w:r>
              <w:rPr>
                <w:sz w:val="20"/>
                <w:szCs w:val="20"/>
              </w:rPr>
              <w:lastRenderedPageBreak/>
              <w:t>22 gennaio 2024, n. 7</w:t>
            </w:r>
          </w:p>
          <w:p w14:paraId="31078407" w14:textId="262E5156" w:rsidR="00871A40" w:rsidRPr="00BC09B3" w:rsidRDefault="00871A40" w:rsidP="00445CEA">
            <w:pPr>
              <w:widowControl w:val="0"/>
              <w:rPr>
                <w:sz w:val="20"/>
                <w:szCs w:val="20"/>
              </w:rPr>
            </w:pPr>
            <w:r w:rsidRPr="00D3536B">
              <w:rPr>
                <w:b w:val="0"/>
                <w:bCs w:val="0"/>
                <w:sz w:val="20"/>
                <w:szCs w:val="20"/>
              </w:rPr>
              <w:t xml:space="preserve">(giudice relatore </w:t>
            </w:r>
            <w:r>
              <w:rPr>
                <w:b w:val="0"/>
                <w:bCs w:val="0"/>
                <w:sz w:val="20"/>
                <w:szCs w:val="20"/>
              </w:rPr>
              <w:t>Giovanni Amoroso</w:t>
            </w:r>
            <w:r w:rsidRPr="00D3536B">
              <w:rPr>
                <w:b w:val="0"/>
                <w:bCs w:val="0"/>
                <w:sz w:val="20"/>
                <w:szCs w:val="20"/>
              </w:rPr>
              <w:t>)</w:t>
            </w:r>
          </w:p>
          <w:p w14:paraId="11722EB6" w14:textId="08549C94" w:rsidR="00871A40" w:rsidRDefault="00871A40" w:rsidP="00632141">
            <w:pPr>
              <w:widowControl w:val="0"/>
              <w:jc w:val="both"/>
              <w:rPr>
                <w:sz w:val="20"/>
                <w:szCs w:val="20"/>
              </w:rPr>
            </w:pPr>
          </w:p>
        </w:tc>
        <w:tc>
          <w:tcPr>
            <w:tcW w:w="2835" w:type="dxa"/>
          </w:tcPr>
          <w:p w14:paraId="20122500" w14:textId="77777777" w:rsidR="00871A40" w:rsidRDefault="00F705BF" w:rsidP="00F705BF">
            <w:pPr>
              <w:widowControl w:val="0"/>
              <w:cnfStyle w:val="000000000000" w:firstRow="0" w:lastRow="0" w:firstColumn="0" w:lastColumn="0" w:oddVBand="0" w:evenVBand="0" w:oddHBand="0" w:evenHBand="0" w:firstRowFirstColumn="0" w:firstRowLastColumn="0" w:lastRowFirstColumn="0" w:lastRowLastColumn="0"/>
              <w:rPr>
                <w:sz w:val="20"/>
                <w:szCs w:val="20"/>
              </w:rPr>
            </w:pPr>
            <w:r w:rsidRPr="00F705BF">
              <w:rPr>
                <w:b/>
                <w:bCs/>
                <w:sz w:val="20"/>
                <w:szCs w:val="20"/>
              </w:rPr>
              <w:t>artt. 3, comma 1, e 10 del d.lgs. n. 23 del 2015</w:t>
            </w:r>
          </w:p>
          <w:p w14:paraId="6476A4E0" w14:textId="5357FFB3" w:rsidR="00F705BF" w:rsidRPr="00F705BF" w:rsidRDefault="00F705BF" w:rsidP="00F705BF">
            <w:pPr>
              <w:widowControl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(disciplina sanzionatoria per il licenziamento collettivo dichiarato illegittimo per violazione dei </w:t>
            </w:r>
            <w:r w:rsidRPr="00BC09B3">
              <w:rPr>
                <w:sz w:val="20"/>
                <w:szCs w:val="20"/>
              </w:rPr>
              <w:t>criteri di scelta dei lavoratori in esubero</w:t>
            </w:r>
            <w:r w:rsidR="00B11543">
              <w:rPr>
                <w:sz w:val="20"/>
                <w:szCs w:val="20"/>
              </w:rPr>
              <w:t xml:space="preserve"> o per vizi procedurali</w:t>
            </w:r>
            <w:r>
              <w:rPr>
                <w:sz w:val="20"/>
                <w:szCs w:val="20"/>
              </w:rPr>
              <w:t>)</w:t>
            </w:r>
          </w:p>
        </w:tc>
        <w:tc>
          <w:tcPr>
            <w:tcW w:w="2835" w:type="dxa"/>
          </w:tcPr>
          <w:p w14:paraId="0F565493" w14:textId="1A9DEB9E" w:rsidR="00871A40" w:rsidRPr="00BC09B3" w:rsidRDefault="0079093B" w:rsidP="00886184">
            <w:pPr>
              <w:widowControl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w:t>
            </w:r>
            <w:r w:rsidRPr="00BC09B3">
              <w:rPr>
                <w:sz w:val="20"/>
                <w:szCs w:val="20"/>
              </w:rPr>
              <w:t>ichiarata non fondata la questione di legittimità costituzionale</w:t>
            </w:r>
            <w:r>
              <w:rPr>
                <w:sz w:val="20"/>
                <w:szCs w:val="20"/>
              </w:rPr>
              <w:t xml:space="preserve"> </w:t>
            </w:r>
            <w:r w:rsidRPr="00BC09B3">
              <w:rPr>
                <w:sz w:val="20"/>
                <w:szCs w:val="20"/>
              </w:rPr>
              <w:t>degli artt. 3, comma 1, e 10 del d.lgs. n. 23 del 2015</w:t>
            </w:r>
          </w:p>
        </w:tc>
        <w:tc>
          <w:tcPr>
            <w:tcW w:w="5046" w:type="dxa"/>
          </w:tcPr>
          <w:p w14:paraId="1BEC57C9" w14:textId="2228E306" w:rsidR="00871A40" w:rsidRDefault="00B71EC5" w:rsidP="00886184">
            <w:pPr>
              <w:widowControl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È</w:t>
            </w:r>
            <w:r w:rsidR="00871A40" w:rsidRPr="00BC09B3">
              <w:rPr>
                <w:sz w:val="20"/>
                <w:szCs w:val="20"/>
              </w:rPr>
              <w:t xml:space="preserve"> dichiarata non fondata la questione di legittimità costituzionale</w:t>
            </w:r>
            <w:r w:rsidR="00B11543">
              <w:rPr>
                <w:sz w:val="20"/>
                <w:szCs w:val="20"/>
              </w:rPr>
              <w:t xml:space="preserve"> </w:t>
            </w:r>
            <w:r w:rsidR="00871A40" w:rsidRPr="00BC09B3">
              <w:rPr>
                <w:sz w:val="20"/>
                <w:szCs w:val="20"/>
              </w:rPr>
              <w:t xml:space="preserve">degli artt. 3, comma 1, e 10 del d.lgs. n. 23 del 2015, nella parte in cui modificano la disciplina sanzionatoria per la violazione dei criteri di scelta dei lavoratori in esubero nell’ambito di un licenziamento collettivo, eliminando, per quelli assunti dopo il 7 marzo 2015, la tutela </w:t>
            </w:r>
            <w:proofErr w:type="spellStart"/>
            <w:r w:rsidR="00871A40" w:rsidRPr="00BC09B3">
              <w:rPr>
                <w:sz w:val="20"/>
                <w:szCs w:val="20"/>
              </w:rPr>
              <w:t>reintegratoria</w:t>
            </w:r>
            <w:proofErr w:type="spellEnd"/>
            <w:r w:rsidR="00871A40" w:rsidRPr="00BC09B3">
              <w:rPr>
                <w:sz w:val="20"/>
                <w:szCs w:val="20"/>
              </w:rPr>
              <w:t xml:space="preserve">, con concentrazione nella sola tutela indennitaria determinata con la previsione di un “tetto” massimo. Il limite massimo di ventiquattro mensilità, elevato a trentasei dal </w:t>
            </w:r>
            <w:proofErr w:type="spellStart"/>
            <w:r w:rsidR="00871A40" w:rsidRPr="00BC09B3">
              <w:rPr>
                <w:sz w:val="20"/>
                <w:szCs w:val="20"/>
              </w:rPr>
              <w:t>d.l.</w:t>
            </w:r>
            <w:proofErr w:type="spellEnd"/>
            <w:r w:rsidR="00871A40" w:rsidRPr="00BC09B3">
              <w:rPr>
                <w:sz w:val="20"/>
                <w:szCs w:val="20"/>
              </w:rPr>
              <w:t xml:space="preserve"> n. 87 del 2018, come </w:t>
            </w:r>
            <w:proofErr w:type="spellStart"/>
            <w:r w:rsidR="00871A40" w:rsidRPr="00BC09B3">
              <w:rPr>
                <w:sz w:val="20"/>
                <w:szCs w:val="20"/>
              </w:rPr>
              <w:t>conv</w:t>
            </w:r>
            <w:proofErr w:type="spellEnd"/>
            <w:r w:rsidR="00871A40" w:rsidRPr="00BC09B3">
              <w:rPr>
                <w:sz w:val="20"/>
                <w:szCs w:val="20"/>
              </w:rPr>
              <w:t xml:space="preserve">., non si pone in contrasto con il canone di necessaria adeguatezza del risarcimento, che richiede che il ristoro sia tale da realizzare un adeguato contemperamento degli interessi in conflitto. La </w:t>
            </w:r>
            <w:proofErr w:type="spellStart"/>
            <w:r w:rsidR="00871A40" w:rsidRPr="00BC09B3">
              <w:rPr>
                <w:sz w:val="20"/>
                <w:szCs w:val="20"/>
              </w:rPr>
              <w:t>dissuasivi</w:t>
            </w:r>
            <w:r>
              <w:rPr>
                <w:sz w:val="20"/>
                <w:szCs w:val="20"/>
              </w:rPr>
              <w:t>tà</w:t>
            </w:r>
            <w:proofErr w:type="spellEnd"/>
            <w:r>
              <w:rPr>
                <w:sz w:val="20"/>
                <w:szCs w:val="20"/>
              </w:rPr>
              <w:t xml:space="preserve"> </w:t>
            </w:r>
            <w:r w:rsidR="00871A40" w:rsidRPr="00BC09B3">
              <w:rPr>
                <w:sz w:val="20"/>
                <w:szCs w:val="20"/>
              </w:rPr>
              <w:t xml:space="preserve">della disciplina dell’illegittimità dei licenziamenti e l’adeguatezza del ristoro vanno valutate con riferimento alla regolamentazione complessiva, articolata nella tutela </w:t>
            </w:r>
            <w:proofErr w:type="spellStart"/>
            <w:r w:rsidR="00871A40" w:rsidRPr="00BC09B3">
              <w:rPr>
                <w:sz w:val="20"/>
                <w:szCs w:val="20"/>
              </w:rPr>
              <w:t>reintegratoria</w:t>
            </w:r>
            <w:proofErr w:type="spellEnd"/>
            <w:r w:rsidR="00871A40" w:rsidRPr="00BC09B3">
              <w:rPr>
                <w:sz w:val="20"/>
                <w:szCs w:val="20"/>
              </w:rPr>
              <w:t xml:space="preserve"> e in quella solo indennitaria secondo un criterio di gradualità e proporzionalità che vede la tutela </w:t>
            </w:r>
            <w:proofErr w:type="spellStart"/>
            <w:r w:rsidR="00871A40" w:rsidRPr="00BC09B3">
              <w:rPr>
                <w:sz w:val="20"/>
                <w:szCs w:val="20"/>
              </w:rPr>
              <w:t>reintegratoria</w:t>
            </w:r>
            <w:proofErr w:type="spellEnd"/>
            <w:r w:rsidR="00871A40" w:rsidRPr="00BC09B3">
              <w:rPr>
                <w:sz w:val="20"/>
                <w:szCs w:val="20"/>
              </w:rPr>
              <w:t xml:space="preserve"> nei casi di violazioni più gravi e quella solo indennitaria negli altri.</w:t>
            </w:r>
          </w:p>
          <w:p w14:paraId="36A01E63" w14:textId="75CEDC74" w:rsidR="00871A40" w:rsidRPr="00632141" w:rsidRDefault="00871A40" w:rsidP="00886184">
            <w:pPr>
              <w:widowControl w:val="0"/>
              <w:cnfStyle w:val="000000000000" w:firstRow="0" w:lastRow="0" w:firstColumn="0" w:lastColumn="0" w:oddVBand="0" w:evenVBand="0" w:oddHBand="0" w:evenHBand="0" w:firstRowFirstColumn="0" w:firstRowLastColumn="0" w:lastRowFirstColumn="0" w:lastRowLastColumn="0"/>
              <w:rPr>
                <w:sz w:val="20"/>
                <w:szCs w:val="20"/>
              </w:rPr>
            </w:pPr>
          </w:p>
        </w:tc>
      </w:tr>
      <w:tr w:rsidR="00871A40" w14:paraId="0DEBC29D" w14:textId="41E961DC" w:rsidTr="00871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0B921D5" w14:textId="5EC58633" w:rsidR="00871A40" w:rsidRDefault="00871A40" w:rsidP="0008465C">
            <w:pPr>
              <w:widowControl w:val="0"/>
              <w:rPr>
                <w:b w:val="0"/>
                <w:bCs w:val="0"/>
                <w:sz w:val="20"/>
                <w:szCs w:val="20"/>
              </w:rPr>
            </w:pPr>
            <w:r>
              <w:rPr>
                <w:sz w:val="20"/>
                <w:szCs w:val="20"/>
              </w:rPr>
              <w:t>22 febbraio 2024, n. 22</w:t>
            </w:r>
          </w:p>
          <w:p w14:paraId="2D9964B4" w14:textId="71622138" w:rsidR="00871A40" w:rsidRPr="0008465C" w:rsidRDefault="00871A40" w:rsidP="0008465C">
            <w:pPr>
              <w:widowControl w:val="0"/>
              <w:rPr>
                <w:sz w:val="20"/>
                <w:szCs w:val="20"/>
              </w:rPr>
            </w:pPr>
            <w:r w:rsidRPr="00D3536B">
              <w:rPr>
                <w:b w:val="0"/>
                <w:bCs w:val="0"/>
                <w:sz w:val="20"/>
                <w:szCs w:val="20"/>
              </w:rPr>
              <w:t xml:space="preserve">(giudice relatore </w:t>
            </w:r>
            <w:r>
              <w:rPr>
                <w:b w:val="0"/>
                <w:bCs w:val="0"/>
                <w:sz w:val="20"/>
                <w:szCs w:val="20"/>
              </w:rPr>
              <w:t>Giovanni Amoroso</w:t>
            </w:r>
            <w:r w:rsidRPr="00D3536B">
              <w:rPr>
                <w:b w:val="0"/>
                <w:bCs w:val="0"/>
                <w:sz w:val="20"/>
                <w:szCs w:val="20"/>
              </w:rPr>
              <w:t>)</w:t>
            </w:r>
          </w:p>
          <w:p w14:paraId="6E8687EA" w14:textId="5CAE810B" w:rsidR="00871A40" w:rsidRDefault="00871A40" w:rsidP="00BC09B3">
            <w:pPr>
              <w:widowControl w:val="0"/>
              <w:jc w:val="both"/>
              <w:rPr>
                <w:sz w:val="20"/>
                <w:szCs w:val="20"/>
              </w:rPr>
            </w:pPr>
          </w:p>
        </w:tc>
        <w:tc>
          <w:tcPr>
            <w:tcW w:w="2835" w:type="dxa"/>
          </w:tcPr>
          <w:p w14:paraId="45A999E1" w14:textId="361EBCC9" w:rsidR="00306D60" w:rsidRDefault="00306D60" w:rsidP="00306D60">
            <w:pPr>
              <w:widowControl w:val="0"/>
              <w:cnfStyle w:val="000000100000" w:firstRow="0" w:lastRow="0" w:firstColumn="0" w:lastColumn="0" w:oddVBand="0" w:evenVBand="0" w:oddHBand="1" w:evenHBand="0" w:firstRowFirstColumn="0" w:firstRowLastColumn="0" w:lastRowFirstColumn="0" w:lastRowLastColumn="0"/>
              <w:rPr>
                <w:b/>
                <w:bCs/>
                <w:sz w:val="20"/>
                <w:szCs w:val="20"/>
              </w:rPr>
            </w:pPr>
            <w:r w:rsidRPr="00542E70">
              <w:rPr>
                <w:b/>
                <w:bCs/>
                <w:sz w:val="20"/>
                <w:szCs w:val="20"/>
              </w:rPr>
              <w:t xml:space="preserve">art. </w:t>
            </w:r>
            <w:r>
              <w:rPr>
                <w:b/>
                <w:bCs/>
                <w:sz w:val="20"/>
                <w:szCs w:val="20"/>
              </w:rPr>
              <w:t>2</w:t>
            </w:r>
            <w:r w:rsidRPr="00542E70">
              <w:rPr>
                <w:b/>
                <w:bCs/>
                <w:sz w:val="20"/>
                <w:szCs w:val="20"/>
              </w:rPr>
              <w:t xml:space="preserve">, comma 1, del d.lgs. n. 23 del 2015 </w:t>
            </w:r>
          </w:p>
          <w:p w14:paraId="3A191877" w14:textId="3FF48406" w:rsidR="00871A40" w:rsidRPr="00542E70" w:rsidRDefault="00306D60" w:rsidP="00306D60">
            <w:pPr>
              <w:widowControl w:val="0"/>
              <w:cnfStyle w:val="000000100000" w:firstRow="0" w:lastRow="0" w:firstColumn="0" w:lastColumn="0" w:oddVBand="0" w:evenVBand="0" w:oddHBand="1" w:evenHBand="0" w:firstRowFirstColumn="0" w:firstRowLastColumn="0" w:lastRowFirstColumn="0" w:lastRowLastColumn="0"/>
              <w:rPr>
                <w:b/>
                <w:bCs/>
                <w:sz w:val="20"/>
                <w:szCs w:val="20"/>
              </w:rPr>
            </w:pPr>
            <w:r w:rsidRPr="00D3536B">
              <w:rPr>
                <w:sz w:val="20"/>
                <w:szCs w:val="20"/>
              </w:rPr>
              <w:t>(</w:t>
            </w:r>
            <w:r w:rsidR="00A11D8A">
              <w:rPr>
                <w:sz w:val="20"/>
                <w:szCs w:val="20"/>
              </w:rPr>
              <w:t>regime sanzionatorio</w:t>
            </w:r>
            <w:r w:rsidR="00305138">
              <w:rPr>
                <w:sz w:val="20"/>
                <w:szCs w:val="20"/>
              </w:rPr>
              <w:t xml:space="preserve"> per i licenziamenti nulli</w:t>
            </w:r>
            <w:r w:rsidRPr="00D3536B">
              <w:rPr>
                <w:sz w:val="20"/>
                <w:szCs w:val="20"/>
              </w:rPr>
              <w:t>)</w:t>
            </w:r>
          </w:p>
        </w:tc>
        <w:tc>
          <w:tcPr>
            <w:tcW w:w="2835" w:type="dxa"/>
          </w:tcPr>
          <w:p w14:paraId="0F512524" w14:textId="20BC830C" w:rsidR="00871A40" w:rsidRPr="0008465C" w:rsidRDefault="00306D60" w:rsidP="00886184">
            <w:pPr>
              <w:widowContro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Dichiarato costituzionalmente illegittimo l’art. 2, comma 1, del d.lgs. n. 23 del 2015</w:t>
            </w:r>
          </w:p>
        </w:tc>
        <w:tc>
          <w:tcPr>
            <w:tcW w:w="5046" w:type="dxa"/>
          </w:tcPr>
          <w:p w14:paraId="3A75130D" w14:textId="5F4581FB" w:rsidR="00871A40" w:rsidRDefault="00871A40" w:rsidP="00886184">
            <w:pPr>
              <w:widowControl w:val="0"/>
              <w:cnfStyle w:val="000000100000" w:firstRow="0" w:lastRow="0" w:firstColumn="0" w:lastColumn="0" w:oddVBand="0" w:evenVBand="0" w:oddHBand="1" w:evenHBand="0" w:firstRowFirstColumn="0" w:firstRowLastColumn="0" w:lastRowFirstColumn="0" w:lastRowLastColumn="0"/>
              <w:rPr>
                <w:sz w:val="20"/>
                <w:szCs w:val="20"/>
              </w:rPr>
            </w:pPr>
            <w:r w:rsidRPr="0008465C">
              <w:rPr>
                <w:sz w:val="20"/>
                <w:szCs w:val="20"/>
              </w:rPr>
              <w:t>Va dichiarata l</w:t>
            </w:r>
            <w:r w:rsidR="00683566">
              <w:rPr>
                <w:sz w:val="20"/>
                <w:szCs w:val="20"/>
              </w:rPr>
              <w:t>’</w:t>
            </w:r>
            <w:r w:rsidRPr="0008465C">
              <w:rPr>
                <w:sz w:val="20"/>
                <w:szCs w:val="20"/>
              </w:rPr>
              <w:t>illegittimità costituzionale dell</w:t>
            </w:r>
            <w:r w:rsidR="00683566">
              <w:rPr>
                <w:sz w:val="20"/>
                <w:szCs w:val="20"/>
              </w:rPr>
              <w:t>’</w:t>
            </w:r>
            <w:r w:rsidRPr="0008465C">
              <w:rPr>
                <w:sz w:val="20"/>
                <w:szCs w:val="20"/>
              </w:rPr>
              <w:t>art. 2, comma 1, d.lg</w:t>
            </w:r>
            <w:r w:rsidR="00306D60">
              <w:rPr>
                <w:sz w:val="20"/>
                <w:szCs w:val="20"/>
              </w:rPr>
              <w:t>s</w:t>
            </w:r>
            <w:r w:rsidRPr="0008465C">
              <w:rPr>
                <w:sz w:val="20"/>
                <w:szCs w:val="20"/>
              </w:rPr>
              <w:t xml:space="preserve">. 4 marzo 2015, n. 23 limitatamente alla parola </w:t>
            </w:r>
            <w:r w:rsidR="00683566">
              <w:rPr>
                <w:sz w:val="20"/>
                <w:szCs w:val="20"/>
              </w:rPr>
              <w:t>“</w:t>
            </w:r>
            <w:r w:rsidRPr="0008465C">
              <w:rPr>
                <w:sz w:val="20"/>
                <w:szCs w:val="20"/>
              </w:rPr>
              <w:t>espressamente</w:t>
            </w:r>
            <w:r w:rsidR="00683566">
              <w:rPr>
                <w:sz w:val="20"/>
                <w:szCs w:val="20"/>
              </w:rPr>
              <w:t>”</w:t>
            </w:r>
            <w:r w:rsidRPr="0008465C">
              <w:rPr>
                <w:sz w:val="20"/>
                <w:szCs w:val="20"/>
              </w:rPr>
              <w:t xml:space="preserve">, dovendosi ritenere tale disposizione illegittima nella parte in cui, nel riconoscere la tutela </w:t>
            </w:r>
            <w:proofErr w:type="spellStart"/>
            <w:r w:rsidRPr="0008465C">
              <w:rPr>
                <w:sz w:val="20"/>
                <w:szCs w:val="20"/>
              </w:rPr>
              <w:t>reintegratoria</w:t>
            </w:r>
            <w:proofErr w:type="spellEnd"/>
            <w:r w:rsidRPr="0008465C">
              <w:rPr>
                <w:sz w:val="20"/>
                <w:szCs w:val="20"/>
              </w:rPr>
              <w:t>, nei casi di nullità, previsti dalla legge, del licenziamento di lavoratori assunti con contratti a tutele crescenti (quindi a partire dal 7 marzo 2015), l</w:t>
            </w:r>
            <w:r w:rsidR="00683566">
              <w:rPr>
                <w:sz w:val="20"/>
                <w:szCs w:val="20"/>
              </w:rPr>
              <w:t>’</w:t>
            </w:r>
            <w:r w:rsidRPr="0008465C">
              <w:rPr>
                <w:sz w:val="20"/>
                <w:szCs w:val="20"/>
              </w:rPr>
              <w:t xml:space="preserve">ha limitata alle nullità sancite </w:t>
            </w:r>
            <w:r w:rsidR="00683566">
              <w:rPr>
                <w:sz w:val="20"/>
                <w:szCs w:val="20"/>
              </w:rPr>
              <w:t>“</w:t>
            </w:r>
            <w:r w:rsidRPr="0008465C">
              <w:rPr>
                <w:sz w:val="20"/>
                <w:szCs w:val="20"/>
              </w:rPr>
              <w:t>espressamente</w:t>
            </w:r>
            <w:r w:rsidR="00683566">
              <w:rPr>
                <w:sz w:val="20"/>
                <w:szCs w:val="20"/>
              </w:rPr>
              <w:t>”</w:t>
            </w:r>
            <w:r w:rsidRPr="0008465C">
              <w:rPr>
                <w:sz w:val="20"/>
                <w:szCs w:val="20"/>
              </w:rPr>
              <w:t xml:space="preserve">. Dalla dichiarazione di illegittimità costituzionale della norma censurata, limitatamente alla parola </w:t>
            </w:r>
            <w:r w:rsidR="00683566">
              <w:rPr>
                <w:sz w:val="20"/>
                <w:szCs w:val="20"/>
              </w:rPr>
              <w:t>“</w:t>
            </w:r>
            <w:r w:rsidRPr="0008465C">
              <w:rPr>
                <w:sz w:val="20"/>
                <w:szCs w:val="20"/>
              </w:rPr>
              <w:t>espressamente</w:t>
            </w:r>
            <w:r w:rsidR="00683566">
              <w:rPr>
                <w:sz w:val="20"/>
                <w:szCs w:val="20"/>
              </w:rPr>
              <w:t>”</w:t>
            </w:r>
            <w:r w:rsidRPr="0008465C">
              <w:rPr>
                <w:sz w:val="20"/>
                <w:szCs w:val="20"/>
              </w:rPr>
              <w:t>, consegue che il regime del licenziamento nullo è lo stesso, sia che nella disposizione imperativa violata ricorra l</w:t>
            </w:r>
            <w:r w:rsidR="00683566">
              <w:rPr>
                <w:sz w:val="20"/>
                <w:szCs w:val="20"/>
              </w:rPr>
              <w:t>’</w:t>
            </w:r>
            <w:r w:rsidRPr="0008465C">
              <w:rPr>
                <w:sz w:val="20"/>
                <w:szCs w:val="20"/>
              </w:rPr>
              <w:t>espressa sanzione della nullità, sia che ciò non sia testualmente previsto, sempre che risulti prescritto un divieto di licenziamento al ricorrere di determinati presupposti.</w:t>
            </w:r>
          </w:p>
          <w:p w14:paraId="6FCC5BD4" w14:textId="09486C72" w:rsidR="00871A40" w:rsidRPr="00BC09B3" w:rsidRDefault="00871A40" w:rsidP="00886184">
            <w:pPr>
              <w:widowControl w:val="0"/>
              <w:cnfStyle w:val="000000100000" w:firstRow="0" w:lastRow="0" w:firstColumn="0" w:lastColumn="0" w:oddVBand="0" w:evenVBand="0" w:oddHBand="1" w:evenHBand="0" w:firstRowFirstColumn="0" w:firstRowLastColumn="0" w:lastRowFirstColumn="0" w:lastRowLastColumn="0"/>
              <w:rPr>
                <w:sz w:val="20"/>
                <w:szCs w:val="20"/>
              </w:rPr>
            </w:pPr>
          </w:p>
        </w:tc>
      </w:tr>
    </w:tbl>
    <w:p w14:paraId="4A031BF8" w14:textId="7454DE05" w:rsidR="00367E0E" w:rsidRDefault="00367E0E" w:rsidP="00367E0E">
      <w:pPr>
        <w:widowControl w:val="0"/>
        <w:jc w:val="both"/>
      </w:pPr>
    </w:p>
    <w:p w14:paraId="27D35DC4" w14:textId="77777777" w:rsidR="00BB71C4" w:rsidRDefault="00BB71C4" w:rsidP="001F060C">
      <w:pPr>
        <w:widowControl w:val="0"/>
        <w:jc w:val="both"/>
      </w:pPr>
    </w:p>
    <w:p w14:paraId="33B56B3B" w14:textId="77777777" w:rsidR="00BB71C4" w:rsidRDefault="00BB71C4" w:rsidP="001F060C">
      <w:pPr>
        <w:widowControl w:val="0"/>
        <w:jc w:val="both"/>
      </w:pPr>
    </w:p>
    <w:p w14:paraId="690097B5" w14:textId="77777777" w:rsidR="008378A3" w:rsidRPr="00895C01" w:rsidRDefault="001306F8" w:rsidP="008378A3">
      <w:pPr>
        <w:keepNext/>
        <w:jc w:val="right"/>
        <w:rPr>
          <w:b/>
          <w:sz w:val="20"/>
          <w:szCs w:val="20"/>
        </w:rPr>
      </w:pPr>
      <w:hyperlink r:id="rId7" w:history="1">
        <w:r w:rsidR="008378A3">
          <w:rPr>
            <w:rStyle w:val="Collegamentoipertestuale"/>
            <w:b/>
            <w:i/>
            <w:sz w:val="20"/>
            <w:szCs w:val="20"/>
          </w:rPr>
          <w:t>Giovanni</w:t>
        </w:r>
      </w:hyperlink>
      <w:r w:rsidR="008378A3">
        <w:rPr>
          <w:rStyle w:val="Collegamentoipertestuale"/>
          <w:b/>
          <w:i/>
          <w:sz w:val="20"/>
          <w:szCs w:val="20"/>
        </w:rPr>
        <w:t xml:space="preserve"> Piglialarmi</w:t>
      </w:r>
    </w:p>
    <w:p w14:paraId="56C8E467" w14:textId="77777777" w:rsidR="008378A3" w:rsidRPr="003E4ABA" w:rsidRDefault="008378A3" w:rsidP="008378A3">
      <w:pPr>
        <w:keepNext/>
        <w:jc w:val="right"/>
        <w:rPr>
          <w:sz w:val="20"/>
          <w:szCs w:val="20"/>
        </w:rPr>
      </w:pPr>
      <w:r>
        <w:rPr>
          <w:sz w:val="20"/>
          <w:szCs w:val="20"/>
        </w:rPr>
        <w:t>Ricercatore in diritto del lavoro - Università di Modena e Reggio Emilia</w:t>
      </w:r>
    </w:p>
    <w:p w14:paraId="73EF219A" w14:textId="10B19D9C" w:rsidR="008378A3" w:rsidRPr="00895C01" w:rsidRDefault="008378A3" w:rsidP="008378A3">
      <w:pPr>
        <w:keepNext/>
        <w:jc w:val="right"/>
        <w:rPr>
          <w:sz w:val="20"/>
          <w:szCs w:val="20"/>
        </w:rPr>
      </w:pPr>
      <w:r>
        <w:rPr>
          <w:noProof/>
        </w:rPr>
        <w:drawing>
          <wp:inline distT="0" distB="0" distL="0" distR="0" wp14:anchorId="08F81954" wp14:editId="30F07313">
            <wp:extent cx="151130" cy="151130"/>
            <wp:effectExtent l="0" t="0" r="1270" b="127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i/>
          <w:sz w:val="20"/>
          <w:szCs w:val="20"/>
        </w:rPr>
        <w:t>@Gio_piglialarmi</w:t>
      </w:r>
    </w:p>
    <w:p w14:paraId="17FADA07" w14:textId="77777777" w:rsidR="001F060C" w:rsidRPr="0051783E" w:rsidRDefault="001F060C" w:rsidP="001F060C">
      <w:pPr>
        <w:keepNext/>
        <w:jc w:val="right"/>
        <w:rPr>
          <w:sz w:val="12"/>
          <w:szCs w:val="12"/>
        </w:rPr>
      </w:pPr>
    </w:p>
    <w:p w14:paraId="2F010C65" w14:textId="5425A887" w:rsidR="001F060C" w:rsidRPr="00900057" w:rsidRDefault="001F060C" w:rsidP="008378A3">
      <w:pPr>
        <w:keepNext/>
        <w:jc w:val="center"/>
        <w:rPr>
          <w:sz w:val="20"/>
          <w:szCs w:val="20"/>
        </w:rPr>
      </w:pPr>
    </w:p>
    <w:sectPr w:rsidR="001F060C" w:rsidRPr="00900057" w:rsidSect="00F61ADF">
      <w:headerReference w:type="default" r:id="rId9"/>
      <w:footerReference w:type="even" r:id="rId10"/>
      <w:footerReference w:type="default" r:id="rId11"/>
      <w:headerReference w:type="first" r:id="rId12"/>
      <w:footerReference w:type="first" r:id="rId13"/>
      <w:pgSz w:w="16817" w:h="11901" w:orient="landscape"/>
      <w:pgMar w:top="1418" w:right="1701" w:bottom="1418"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A1DBB" w14:textId="77777777" w:rsidR="001306F8" w:rsidRDefault="001306F8" w:rsidP="001F060C">
      <w:r>
        <w:separator/>
      </w:r>
    </w:p>
  </w:endnote>
  <w:endnote w:type="continuationSeparator" w:id="0">
    <w:p w14:paraId="042248B6" w14:textId="77777777" w:rsidR="001306F8" w:rsidRDefault="001306F8" w:rsidP="001F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C2017" w14:textId="77777777" w:rsidR="008F7C9B" w:rsidRDefault="008F7C9B" w:rsidP="001F06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297DF02" w14:textId="77777777" w:rsidR="008F7C9B" w:rsidRDefault="008F7C9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31D61" w14:textId="77777777" w:rsidR="008F7C9B" w:rsidRPr="00C0542A" w:rsidRDefault="008F7C9B" w:rsidP="001F060C">
    <w:pPr>
      <w:pStyle w:val="Pidipagina"/>
      <w:framePr w:wrap="around" w:vAnchor="text" w:hAnchor="margin" w:xAlign="center" w:y="1"/>
      <w:rPr>
        <w:rStyle w:val="Numeropagina"/>
        <w:rFonts w:ascii="Times New Roman" w:hAnsi="Times New Roman" w:cs="Times New Roman"/>
        <w:sz w:val="20"/>
        <w:szCs w:val="20"/>
      </w:rPr>
    </w:pPr>
    <w:r w:rsidRPr="00C0542A">
      <w:rPr>
        <w:rStyle w:val="Numeropagina"/>
        <w:rFonts w:ascii="Times New Roman" w:hAnsi="Times New Roman" w:cs="Times New Roman"/>
        <w:sz w:val="20"/>
        <w:szCs w:val="20"/>
      </w:rPr>
      <w:fldChar w:fldCharType="begin"/>
    </w:r>
    <w:r w:rsidRPr="00C0542A">
      <w:rPr>
        <w:rStyle w:val="Numeropagina"/>
        <w:rFonts w:ascii="Times New Roman" w:hAnsi="Times New Roman" w:cs="Times New Roman"/>
        <w:sz w:val="20"/>
        <w:szCs w:val="20"/>
      </w:rPr>
      <w:instrText xml:space="preserve">PAGE  </w:instrText>
    </w:r>
    <w:r w:rsidRPr="00C0542A">
      <w:rPr>
        <w:rStyle w:val="Numeropagina"/>
        <w:rFonts w:ascii="Times New Roman" w:hAnsi="Times New Roman" w:cs="Times New Roman"/>
        <w:sz w:val="20"/>
        <w:szCs w:val="20"/>
      </w:rPr>
      <w:fldChar w:fldCharType="separate"/>
    </w:r>
    <w:r w:rsidR="00330EA7">
      <w:rPr>
        <w:rStyle w:val="Numeropagina"/>
        <w:rFonts w:ascii="Times New Roman" w:hAnsi="Times New Roman" w:cs="Times New Roman"/>
        <w:noProof/>
        <w:sz w:val="20"/>
        <w:szCs w:val="20"/>
      </w:rPr>
      <w:t>2</w:t>
    </w:r>
    <w:r w:rsidRPr="00C0542A">
      <w:rPr>
        <w:rStyle w:val="Numeropagina"/>
        <w:rFonts w:ascii="Times New Roman" w:hAnsi="Times New Roman" w:cs="Times New Roman"/>
        <w:sz w:val="20"/>
        <w:szCs w:val="20"/>
      </w:rPr>
      <w:fldChar w:fldCharType="end"/>
    </w:r>
  </w:p>
  <w:p w14:paraId="446AC4E4" w14:textId="77777777" w:rsidR="008F7C9B" w:rsidRDefault="008F7C9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48373" w14:textId="2085629F" w:rsidR="008F7C9B" w:rsidRPr="00744B64" w:rsidRDefault="001306F8" w:rsidP="001F060C">
    <w:pPr>
      <w:pStyle w:val="Pidipagina"/>
      <w:jc w:val="center"/>
      <w:rPr>
        <w:rFonts w:ascii="Times New Roman" w:hAnsi="Times New Roman" w:cs="Times New Roman"/>
        <w:i/>
        <w:sz w:val="20"/>
        <w:szCs w:val="20"/>
      </w:rPr>
    </w:pPr>
    <w:hyperlink r:id="rId1" w:history="1">
      <w:r w:rsidR="008F7C9B" w:rsidRPr="00900057">
        <w:rPr>
          <w:rStyle w:val="Collegamentoipertestuale"/>
          <w:rFonts w:ascii="Times New Roman" w:hAnsi="Times New Roman" w:cs="Times New Roman"/>
          <w:i/>
          <w:iCs/>
          <w:sz w:val="20"/>
          <w:szCs w:val="20"/>
          <w:u w:val="none"/>
        </w:rPr>
        <w:t>ADAPT</w:t>
      </w:r>
    </w:hyperlink>
    <w:r w:rsidR="008F7C9B" w:rsidRPr="00900057">
      <w:rPr>
        <w:rFonts w:ascii="Times New Roman" w:hAnsi="Times New Roman" w:cs="Times New Roman"/>
        <w:i/>
        <w:iCs/>
        <w:sz w:val="20"/>
        <w:szCs w:val="20"/>
      </w:rPr>
      <w:t xml:space="preserve"> </w:t>
    </w:r>
    <w:r w:rsidR="008F7C9B" w:rsidRPr="00744B64">
      <w:rPr>
        <w:rFonts w:ascii="Times New Roman" w:hAnsi="Times New Roman" w:cs="Times New Roman"/>
        <w:i/>
        <w:iCs/>
        <w:sz w:val="20"/>
        <w:szCs w:val="20"/>
      </w:rPr>
      <w:t>- Scuola di alta formazione sulle relazioni industriali e di lavoro</w:t>
    </w:r>
  </w:p>
  <w:p w14:paraId="5D13C56B" w14:textId="424D3903" w:rsidR="008F7C9B" w:rsidRPr="00744B64" w:rsidRDefault="008F7C9B" w:rsidP="001F060C">
    <w:pPr>
      <w:pStyle w:val="Pidipagina"/>
      <w:jc w:val="center"/>
      <w:rPr>
        <w:rFonts w:ascii="Times New Roman" w:hAnsi="Times New Roman" w:cs="Times New Roman"/>
        <w:i/>
        <w:sz w:val="20"/>
        <w:szCs w:val="20"/>
      </w:rPr>
    </w:pPr>
    <w:r w:rsidRPr="00744B64">
      <w:rPr>
        <w:rFonts w:ascii="Times New Roman" w:hAnsi="Times New Roman" w:cs="Times New Roman"/>
        <w:i/>
        <w:sz w:val="20"/>
        <w:szCs w:val="20"/>
      </w:rPr>
      <w:t xml:space="preserve">Per iscriversi al bollettino ADAPT </w:t>
    </w:r>
    <w:hyperlink r:id="rId2" w:history="1">
      <w:r w:rsidRPr="00900057">
        <w:rPr>
          <w:rStyle w:val="Collegamentoipertestuale"/>
          <w:rFonts w:ascii="Times New Roman" w:hAnsi="Times New Roman" w:cs="Times New Roman"/>
          <w:i/>
          <w:sz w:val="20"/>
          <w:szCs w:val="20"/>
          <w:u w:val="none"/>
        </w:rPr>
        <w:t>clicca qui</w:t>
      </w:r>
    </w:hyperlink>
  </w:p>
  <w:p w14:paraId="5A897043" w14:textId="2186F1AE" w:rsidR="008F7C9B" w:rsidRPr="00744B64" w:rsidRDefault="008F7C9B" w:rsidP="001F060C">
    <w:pPr>
      <w:pStyle w:val="Pidipagina"/>
      <w:rPr>
        <w:rFonts w:ascii="Times New Roman" w:hAnsi="Times New Roman" w:cs="Times New Roman"/>
        <w:sz w:val="20"/>
        <w:szCs w:val="20"/>
      </w:rPr>
    </w:pPr>
    <w:r w:rsidRPr="00744B64">
      <w:rPr>
        <w:rFonts w:ascii="Times New Roman" w:hAnsi="Times New Roman" w:cs="Times New Roman"/>
        <w:i/>
        <w:sz w:val="20"/>
        <w:szCs w:val="20"/>
      </w:rPr>
      <w:t>Per entrare nella Scuola di ADAPT e nel progetto</w:t>
    </w:r>
    <w:r w:rsidRPr="00900057">
      <w:rPr>
        <w:rFonts w:ascii="Times New Roman" w:hAnsi="Times New Roman" w:cs="Times New Roman"/>
        <w:i/>
        <w:sz w:val="20"/>
        <w:szCs w:val="20"/>
      </w:rPr>
      <w:t xml:space="preserve"> </w:t>
    </w:r>
    <w:hyperlink r:id="rId3" w:history="1">
      <w:r w:rsidRPr="00900057">
        <w:rPr>
          <w:rStyle w:val="Collegamentoipertestuale"/>
          <w:rFonts w:ascii="Times New Roman" w:hAnsi="Times New Roman" w:cs="Times New Roman"/>
          <w:i/>
          <w:sz w:val="20"/>
          <w:szCs w:val="20"/>
          <w:u w:val="none"/>
        </w:rPr>
        <w:t>fabbrica dei talenti</w:t>
      </w:r>
    </w:hyperlink>
    <w:r w:rsidRPr="00744B64">
      <w:rPr>
        <w:rFonts w:ascii="Times New Roman" w:hAnsi="Times New Roman" w:cs="Times New Roman"/>
        <w:i/>
        <w:sz w:val="20"/>
        <w:szCs w:val="20"/>
      </w:rPr>
      <w:t xml:space="preserve"> scrivi a:</w:t>
    </w:r>
    <w:r w:rsidRPr="00900057">
      <w:rPr>
        <w:rFonts w:ascii="Times New Roman" w:hAnsi="Times New Roman" w:cs="Times New Roman"/>
        <w:i/>
        <w:color w:val="0000FF"/>
        <w:sz w:val="20"/>
        <w:szCs w:val="20"/>
      </w:rPr>
      <w:t xml:space="preserve"> </w:t>
    </w:r>
    <w:hyperlink r:id="rId4" w:history="1">
      <w:r w:rsidRPr="00900057">
        <w:rPr>
          <w:rStyle w:val="Collegamentoipertestuale"/>
          <w:rFonts w:ascii="Times New Roman" w:hAnsi="Times New Roman" w:cs="Times New Roman"/>
          <w:i/>
          <w:sz w:val="20"/>
          <w:szCs w:val="20"/>
          <w:u w:val="none"/>
        </w:rPr>
        <w:t>selezione@adapt.it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6B03F" w14:textId="77777777" w:rsidR="001306F8" w:rsidRDefault="001306F8" w:rsidP="001F060C">
      <w:r>
        <w:separator/>
      </w:r>
    </w:p>
  </w:footnote>
  <w:footnote w:type="continuationSeparator" w:id="0">
    <w:p w14:paraId="5733A417" w14:textId="77777777" w:rsidR="001306F8" w:rsidRDefault="001306F8" w:rsidP="001F0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EA28" w14:textId="77777777" w:rsidR="00BB71C4" w:rsidRPr="008F07D0" w:rsidRDefault="001306F8" w:rsidP="00BB71C4">
    <w:pPr>
      <w:pStyle w:val="Intestazione"/>
      <w:jc w:val="center"/>
      <w:rPr>
        <w:rFonts w:ascii="Times New Roman" w:hAnsi="Times New Roman" w:cs="Times New Roman"/>
        <w:i/>
        <w:color w:val="0000FF"/>
        <w:sz w:val="20"/>
        <w:szCs w:val="20"/>
      </w:rPr>
    </w:pPr>
    <w:hyperlink r:id="rId1" w:history="1">
      <w:r w:rsidR="00BB71C4" w:rsidRPr="008F07D0">
        <w:rPr>
          <w:rStyle w:val="Collegamentoipertestuale"/>
          <w:rFonts w:ascii="Times New Roman" w:hAnsi="Times New Roman" w:cs="Times New Roman"/>
          <w:i/>
          <w:sz w:val="20"/>
          <w:szCs w:val="20"/>
          <w:u w:val="none"/>
        </w:rPr>
        <w:t>www.bollettinoadapt.it</w:t>
      </w:r>
    </w:hyperlink>
  </w:p>
  <w:p w14:paraId="43167989" w14:textId="77777777" w:rsidR="00BB71C4" w:rsidRDefault="00BB71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457C3" w14:textId="77777777" w:rsidR="008F7C9B" w:rsidRDefault="008F7C9B" w:rsidP="001F060C">
    <w:pPr>
      <w:jc w:val="both"/>
      <w:rPr>
        <w:i/>
        <w:color w:val="CC0000"/>
        <w:sz w:val="20"/>
        <w:szCs w:val="20"/>
      </w:rPr>
    </w:pPr>
    <w:r>
      <w:rPr>
        <w:noProof/>
      </w:rPr>
      <w:drawing>
        <wp:anchor distT="0" distB="0" distL="114300" distR="114300" simplePos="0" relativeHeight="251659264" behindDoc="0" locked="1" layoutInCell="1" allowOverlap="1" wp14:anchorId="4C8E44D4" wp14:editId="2695A882">
          <wp:simplePos x="0" y="0"/>
          <wp:positionH relativeFrom="column">
            <wp:posOffset>0</wp:posOffset>
          </wp:positionH>
          <wp:positionV relativeFrom="paragraph">
            <wp:posOffset>45720</wp:posOffset>
          </wp:positionV>
          <wp:extent cx="355600" cy="355600"/>
          <wp:effectExtent l="0" t="0" r="0" b="0"/>
          <wp:wrapSquare wrapText="bothSides"/>
          <wp:docPr id="4" name="Immagine 4" descr="ICONA_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A_BOL"/>
                  <pic:cNvPicPr>
                    <a:picLocks noChangeAspect="1" noChangeArrowheads="1"/>
                  </pic:cNvPicPr>
                </pic:nvPicPr>
                <pic:blipFill>
                  <a:blip r:embed="rId1" cstate="print"/>
                  <a:srcRect/>
                  <a:stretch>
                    <a:fillRect/>
                  </a:stretch>
                </pic:blipFill>
                <pic:spPr bwMode="auto">
                  <a:xfrm>
                    <a:off x="0" y="0"/>
                    <a:ext cx="355600" cy="355600"/>
                  </a:xfrm>
                  <a:prstGeom prst="rect">
                    <a:avLst/>
                  </a:prstGeom>
                  <a:noFill/>
                  <a:ln w="9525">
                    <a:noFill/>
                    <a:miter lim="800000"/>
                    <a:headEnd/>
                    <a:tailEnd/>
                  </a:ln>
                </pic:spPr>
              </pic:pic>
            </a:graphicData>
          </a:graphic>
        </wp:anchor>
      </w:drawing>
    </w:r>
  </w:p>
  <w:p w14:paraId="7C479DF1" w14:textId="449B0726" w:rsidR="008F7C9B" w:rsidRPr="00900057" w:rsidRDefault="008F7C9B" w:rsidP="001F060C">
    <w:pPr>
      <w:pStyle w:val="Intestazione"/>
      <w:rPr>
        <w:rFonts w:ascii="Times New Roman" w:hAnsi="Times New Roman" w:cs="Times New Roman"/>
        <w:color w:val="CC0000"/>
      </w:rPr>
    </w:pPr>
    <w:r>
      <w:t xml:space="preserve">            </w:t>
    </w:r>
    <w:hyperlink r:id="rId2" w:history="1">
      <w:r w:rsidRPr="00BB71C4">
        <w:rPr>
          <w:rStyle w:val="Collegamentoipertestuale"/>
          <w:rFonts w:ascii="Times New Roman" w:hAnsi="Times New Roman" w:cs="Times New Roman"/>
          <w:i/>
          <w:color w:val="CC0000"/>
          <w:sz w:val="20"/>
          <w:szCs w:val="20"/>
          <w:u w:val="none"/>
        </w:rPr>
        <w:t>@bollettinoADAPT</w:t>
      </w:r>
    </w:hyperlink>
    <w:r w:rsidR="00BB71C4">
      <w:rPr>
        <w:rFonts w:ascii="Times New Roman" w:hAnsi="Times New Roman" w:cs="Times New Roman"/>
        <w:color w:val="CC0000"/>
        <w:sz w:val="20"/>
        <w:szCs w:val="20"/>
      </w:rPr>
      <w:t xml:space="preserve"> del </w:t>
    </w:r>
    <w:r w:rsidRPr="00900057">
      <w:rPr>
        <w:rFonts w:ascii="Times New Roman" w:hAnsi="Times New Roman" w:cs="Times New Roman"/>
        <w:color w:val="CC0000"/>
        <w:sz w:val="20"/>
        <w:szCs w:val="20"/>
      </w:rPr>
      <w:t>data</w:t>
    </w:r>
    <w:r w:rsidR="00BB71C4">
      <w:rPr>
        <w:rFonts w:ascii="Times New Roman" w:hAnsi="Times New Roman" w:cs="Times New Roman"/>
        <w:color w:val="CC0000"/>
        <w:sz w:val="20"/>
        <w:szCs w:val="20"/>
      </w:rPr>
      <w:t xml:space="preserve"> e </w:t>
    </w:r>
    <w:r w:rsidRPr="00900057">
      <w:rPr>
        <w:rFonts w:ascii="Times New Roman" w:hAnsi="Times New Roman" w:cs="Times New Roman"/>
        <w:color w:val="CC0000"/>
        <w:sz w:val="20"/>
        <w:szCs w:val="20"/>
      </w:rPr>
      <w:t xml:space="preserve">numero </w:t>
    </w:r>
    <w:r w:rsidRPr="00900057">
      <w:rPr>
        <w:rFonts w:ascii="Times New Roman" w:hAnsi="Times New Roman" w:cs="Times New Roman"/>
        <w:color w:val="CC0000"/>
        <w:sz w:val="20"/>
        <w:szCs w:val="20"/>
        <w:highlight w:val="yellow"/>
      </w:rPr>
      <w:t>(ad esempio “</w:t>
    </w:r>
    <w:r w:rsidR="00BB71C4">
      <w:rPr>
        <w:rFonts w:ascii="Times New Roman" w:hAnsi="Times New Roman" w:cs="Times New Roman"/>
        <w:color w:val="CC0000"/>
        <w:sz w:val="20"/>
        <w:szCs w:val="20"/>
        <w:highlight w:val="yellow"/>
      </w:rPr>
      <w:t xml:space="preserve">del </w:t>
    </w:r>
    <w:r w:rsidRPr="00900057">
      <w:rPr>
        <w:rFonts w:ascii="Times New Roman" w:hAnsi="Times New Roman" w:cs="Times New Roman"/>
        <w:color w:val="CC0000"/>
        <w:sz w:val="20"/>
        <w:szCs w:val="20"/>
        <w:highlight w:val="yellow"/>
      </w:rPr>
      <w:t>5 giugno 2017, n. 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0C"/>
    <w:rsid w:val="00054F95"/>
    <w:rsid w:val="00076DE8"/>
    <w:rsid w:val="000773D3"/>
    <w:rsid w:val="0008465C"/>
    <w:rsid w:val="000B08DA"/>
    <w:rsid w:val="000E58D2"/>
    <w:rsid w:val="000F0388"/>
    <w:rsid w:val="00127B72"/>
    <w:rsid w:val="001306F8"/>
    <w:rsid w:val="0013470F"/>
    <w:rsid w:val="00142FC4"/>
    <w:rsid w:val="00144EE7"/>
    <w:rsid w:val="001D1E4C"/>
    <w:rsid w:val="001F060C"/>
    <w:rsid w:val="002821F8"/>
    <w:rsid w:val="002969B4"/>
    <w:rsid w:val="002A31A3"/>
    <w:rsid w:val="002E2FCB"/>
    <w:rsid w:val="002E7CA1"/>
    <w:rsid w:val="002F2609"/>
    <w:rsid w:val="002F6F9A"/>
    <w:rsid w:val="00305138"/>
    <w:rsid w:val="00306D60"/>
    <w:rsid w:val="00317CBE"/>
    <w:rsid w:val="00323247"/>
    <w:rsid w:val="003308BB"/>
    <w:rsid w:val="00330EA7"/>
    <w:rsid w:val="00331985"/>
    <w:rsid w:val="00347D60"/>
    <w:rsid w:val="00367E0E"/>
    <w:rsid w:val="003752CA"/>
    <w:rsid w:val="00380559"/>
    <w:rsid w:val="003B42FA"/>
    <w:rsid w:val="003C10C3"/>
    <w:rsid w:val="003D7F1C"/>
    <w:rsid w:val="003F7514"/>
    <w:rsid w:val="00445CEA"/>
    <w:rsid w:val="004473CD"/>
    <w:rsid w:val="00481048"/>
    <w:rsid w:val="00493845"/>
    <w:rsid w:val="004A3FAB"/>
    <w:rsid w:val="004B626F"/>
    <w:rsid w:val="004C4E0F"/>
    <w:rsid w:val="004C77D3"/>
    <w:rsid w:val="004D33C5"/>
    <w:rsid w:val="004D6D02"/>
    <w:rsid w:val="004F06DF"/>
    <w:rsid w:val="00513B7D"/>
    <w:rsid w:val="0053534A"/>
    <w:rsid w:val="00540959"/>
    <w:rsid w:val="00542E70"/>
    <w:rsid w:val="00546E92"/>
    <w:rsid w:val="005632F2"/>
    <w:rsid w:val="005A2EAF"/>
    <w:rsid w:val="005C0A3D"/>
    <w:rsid w:val="005F05EE"/>
    <w:rsid w:val="00604EEA"/>
    <w:rsid w:val="006055A3"/>
    <w:rsid w:val="00607F06"/>
    <w:rsid w:val="00632141"/>
    <w:rsid w:val="006609D8"/>
    <w:rsid w:val="00683566"/>
    <w:rsid w:val="00686C2E"/>
    <w:rsid w:val="006965E0"/>
    <w:rsid w:val="006A3EA8"/>
    <w:rsid w:val="006F0B10"/>
    <w:rsid w:val="006F5E3E"/>
    <w:rsid w:val="007016A4"/>
    <w:rsid w:val="00704103"/>
    <w:rsid w:val="00731DD1"/>
    <w:rsid w:val="00741E7B"/>
    <w:rsid w:val="00744B64"/>
    <w:rsid w:val="00751B5A"/>
    <w:rsid w:val="00756F29"/>
    <w:rsid w:val="007704A9"/>
    <w:rsid w:val="0079093B"/>
    <w:rsid w:val="007C37D1"/>
    <w:rsid w:val="007F74EA"/>
    <w:rsid w:val="0081412B"/>
    <w:rsid w:val="00826986"/>
    <w:rsid w:val="008378A3"/>
    <w:rsid w:val="00863BD0"/>
    <w:rsid w:val="00871A40"/>
    <w:rsid w:val="00886184"/>
    <w:rsid w:val="008A06DF"/>
    <w:rsid w:val="008A5A04"/>
    <w:rsid w:val="008E1519"/>
    <w:rsid w:val="008F3077"/>
    <w:rsid w:val="008F7C9B"/>
    <w:rsid w:val="00900057"/>
    <w:rsid w:val="009076F3"/>
    <w:rsid w:val="00920038"/>
    <w:rsid w:val="00923103"/>
    <w:rsid w:val="00967CF6"/>
    <w:rsid w:val="009E1D3F"/>
    <w:rsid w:val="009F26EE"/>
    <w:rsid w:val="00A029B3"/>
    <w:rsid w:val="00A0635D"/>
    <w:rsid w:val="00A11D8A"/>
    <w:rsid w:val="00A13612"/>
    <w:rsid w:val="00A16A43"/>
    <w:rsid w:val="00A444AA"/>
    <w:rsid w:val="00A67FB0"/>
    <w:rsid w:val="00AD0D48"/>
    <w:rsid w:val="00AE2AAC"/>
    <w:rsid w:val="00AE2CAB"/>
    <w:rsid w:val="00B11543"/>
    <w:rsid w:val="00B142FC"/>
    <w:rsid w:val="00B17B23"/>
    <w:rsid w:val="00B333E2"/>
    <w:rsid w:val="00B373E8"/>
    <w:rsid w:val="00B53205"/>
    <w:rsid w:val="00B71EC5"/>
    <w:rsid w:val="00B80B15"/>
    <w:rsid w:val="00B9271B"/>
    <w:rsid w:val="00BB71C4"/>
    <w:rsid w:val="00BC09B3"/>
    <w:rsid w:val="00BC28A1"/>
    <w:rsid w:val="00BE3C61"/>
    <w:rsid w:val="00C03D0D"/>
    <w:rsid w:val="00C0542A"/>
    <w:rsid w:val="00C214D9"/>
    <w:rsid w:val="00C340CB"/>
    <w:rsid w:val="00C54E4A"/>
    <w:rsid w:val="00C60ED4"/>
    <w:rsid w:val="00CC1B1D"/>
    <w:rsid w:val="00CC1CD4"/>
    <w:rsid w:val="00CE130B"/>
    <w:rsid w:val="00CF4E29"/>
    <w:rsid w:val="00D04A78"/>
    <w:rsid w:val="00D23FD8"/>
    <w:rsid w:val="00D3536B"/>
    <w:rsid w:val="00D64E08"/>
    <w:rsid w:val="00D73237"/>
    <w:rsid w:val="00D75E1F"/>
    <w:rsid w:val="00DA4EBB"/>
    <w:rsid w:val="00DB3E92"/>
    <w:rsid w:val="00DD6244"/>
    <w:rsid w:val="00DE62A8"/>
    <w:rsid w:val="00E04B57"/>
    <w:rsid w:val="00E775E7"/>
    <w:rsid w:val="00EC577B"/>
    <w:rsid w:val="00F12A1F"/>
    <w:rsid w:val="00F1735D"/>
    <w:rsid w:val="00F2424E"/>
    <w:rsid w:val="00F24A9B"/>
    <w:rsid w:val="00F336FF"/>
    <w:rsid w:val="00F4408B"/>
    <w:rsid w:val="00F612D6"/>
    <w:rsid w:val="00F61ADF"/>
    <w:rsid w:val="00F66073"/>
    <w:rsid w:val="00F705BF"/>
    <w:rsid w:val="00FA6D4E"/>
    <w:rsid w:val="00FB3ACC"/>
    <w:rsid w:val="00FC4924"/>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2FC347"/>
  <w15:docId w15:val="{808A2934-86E7-4824-8492-1EC26C80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42FA"/>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060C"/>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1F060C"/>
  </w:style>
  <w:style w:type="paragraph" w:styleId="Pidipagina">
    <w:name w:val="footer"/>
    <w:basedOn w:val="Normale"/>
    <w:link w:val="PidipaginaCarattere"/>
    <w:unhideWhenUsed/>
    <w:rsid w:val="001F060C"/>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rsid w:val="001F060C"/>
  </w:style>
  <w:style w:type="paragraph" w:styleId="Testonotaapidipagina">
    <w:name w:val="footnote text"/>
    <w:basedOn w:val="Normale"/>
    <w:link w:val="TestonotaapidipaginaCarattere"/>
    <w:semiHidden/>
    <w:rsid w:val="001F060C"/>
    <w:rPr>
      <w:sz w:val="20"/>
      <w:szCs w:val="20"/>
    </w:rPr>
  </w:style>
  <w:style w:type="character" w:customStyle="1" w:styleId="TestonotaapidipaginaCarattere">
    <w:name w:val="Testo nota a piè di pagina Carattere"/>
    <w:basedOn w:val="Carpredefinitoparagrafo"/>
    <w:link w:val="Testonotaapidipagina"/>
    <w:semiHidden/>
    <w:rsid w:val="001F060C"/>
    <w:rPr>
      <w:rFonts w:ascii="Times New Roman" w:eastAsia="Times New Roman" w:hAnsi="Times New Roman" w:cs="Times New Roman"/>
      <w:sz w:val="20"/>
      <w:szCs w:val="20"/>
    </w:rPr>
  </w:style>
  <w:style w:type="character" w:styleId="Collegamentoipertestuale">
    <w:name w:val="Hyperlink"/>
    <w:rsid w:val="001F060C"/>
    <w:rPr>
      <w:color w:val="0000FF"/>
      <w:u w:val="single"/>
    </w:rPr>
  </w:style>
  <w:style w:type="character" w:styleId="Collegamentovisitato">
    <w:name w:val="FollowedHyperlink"/>
    <w:basedOn w:val="Carpredefinitoparagrafo"/>
    <w:uiPriority w:val="99"/>
    <w:semiHidden/>
    <w:unhideWhenUsed/>
    <w:rsid w:val="001F060C"/>
    <w:rPr>
      <w:color w:val="800080" w:themeColor="followedHyperlink"/>
      <w:u w:val="single"/>
    </w:rPr>
  </w:style>
  <w:style w:type="character" w:styleId="Rimandonotaapidipagina">
    <w:name w:val="footnote reference"/>
    <w:semiHidden/>
    <w:rsid w:val="001F060C"/>
    <w:rPr>
      <w:vertAlign w:val="superscript"/>
    </w:rPr>
  </w:style>
  <w:style w:type="paragraph" w:styleId="Testofumetto">
    <w:name w:val="Balloon Text"/>
    <w:basedOn w:val="Normale"/>
    <w:link w:val="TestofumettoCarattere"/>
    <w:uiPriority w:val="99"/>
    <w:semiHidden/>
    <w:unhideWhenUsed/>
    <w:rsid w:val="001F060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F060C"/>
    <w:rPr>
      <w:rFonts w:ascii="Lucida Grande" w:eastAsia="Times New Roman" w:hAnsi="Lucida Grande" w:cs="Lucida Grande"/>
      <w:sz w:val="18"/>
      <w:szCs w:val="18"/>
    </w:rPr>
  </w:style>
  <w:style w:type="character" w:styleId="Numeropagina">
    <w:name w:val="page number"/>
    <w:basedOn w:val="Carpredefinitoparagrafo"/>
    <w:uiPriority w:val="99"/>
    <w:semiHidden/>
    <w:unhideWhenUsed/>
    <w:rsid w:val="001F060C"/>
  </w:style>
  <w:style w:type="character" w:styleId="Menzionenonrisolta">
    <w:name w:val="Unresolved Mention"/>
    <w:basedOn w:val="Carpredefinitoparagrafo"/>
    <w:uiPriority w:val="99"/>
    <w:semiHidden/>
    <w:unhideWhenUsed/>
    <w:rsid w:val="0013470F"/>
    <w:rPr>
      <w:color w:val="605E5C"/>
      <w:shd w:val="clear" w:color="auto" w:fill="E1DFDD"/>
    </w:rPr>
  </w:style>
  <w:style w:type="paragraph" w:styleId="Revisione">
    <w:name w:val="Revision"/>
    <w:hidden/>
    <w:uiPriority w:val="99"/>
    <w:semiHidden/>
    <w:rsid w:val="00F24A9B"/>
    <w:rPr>
      <w:rFonts w:ascii="Times New Roman" w:eastAsia="Times New Roman" w:hAnsi="Times New Roman" w:cs="Times New Roman"/>
    </w:rPr>
  </w:style>
  <w:style w:type="character" w:styleId="Rimandocommento">
    <w:name w:val="annotation reference"/>
    <w:basedOn w:val="Carpredefinitoparagrafo"/>
    <w:uiPriority w:val="99"/>
    <w:semiHidden/>
    <w:unhideWhenUsed/>
    <w:rsid w:val="00F24A9B"/>
    <w:rPr>
      <w:sz w:val="16"/>
      <w:szCs w:val="16"/>
    </w:rPr>
  </w:style>
  <w:style w:type="paragraph" w:styleId="Testocommento">
    <w:name w:val="annotation text"/>
    <w:basedOn w:val="Normale"/>
    <w:link w:val="TestocommentoCarattere"/>
    <w:uiPriority w:val="99"/>
    <w:unhideWhenUsed/>
    <w:rsid w:val="00F24A9B"/>
    <w:rPr>
      <w:sz w:val="20"/>
      <w:szCs w:val="20"/>
    </w:rPr>
  </w:style>
  <w:style w:type="character" w:customStyle="1" w:styleId="TestocommentoCarattere">
    <w:name w:val="Testo commento Carattere"/>
    <w:basedOn w:val="Carpredefinitoparagrafo"/>
    <w:link w:val="Testocommento"/>
    <w:uiPriority w:val="99"/>
    <w:rsid w:val="00F24A9B"/>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F24A9B"/>
    <w:rPr>
      <w:b/>
      <w:bCs/>
    </w:rPr>
  </w:style>
  <w:style w:type="character" w:customStyle="1" w:styleId="SoggettocommentoCarattere">
    <w:name w:val="Soggetto commento Carattere"/>
    <w:basedOn w:val="TestocommentoCarattere"/>
    <w:link w:val="Soggettocommento"/>
    <w:uiPriority w:val="99"/>
    <w:semiHidden/>
    <w:rsid w:val="00F24A9B"/>
    <w:rPr>
      <w:rFonts w:ascii="Times New Roman" w:eastAsia="Times New Roman" w:hAnsi="Times New Roman" w:cs="Times New Roman"/>
      <w:b/>
      <w:bCs/>
      <w:sz w:val="20"/>
      <w:szCs w:val="20"/>
    </w:rPr>
  </w:style>
  <w:style w:type="table" w:styleId="Grigliatabella">
    <w:name w:val="Table Grid"/>
    <w:basedOn w:val="Tabellanormale"/>
    <w:uiPriority w:val="59"/>
    <w:rsid w:val="004D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2">
    <w:name w:val="Grid Table 4 Accent 2"/>
    <w:basedOn w:val="Tabellanormale"/>
    <w:uiPriority w:val="49"/>
    <w:rsid w:val="00B9271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agriglia3-colore2">
    <w:name w:val="Grid Table 3 Accent 2"/>
    <w:basedOn w:val="Tabellanormale"/>
    <w:uiPriority w:val="48"/>
    <w:rsid w:val="00B9271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lagriglia6acolori-colore2">
    <w:name w:val="Grid Table 6 Colorful Accent 2"/>
    <w:basedOn w:val="Tabellanormale"/>
    <w:uiPriority w:val="51"/>
    <w:rsid w:val="00B9271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Enfasicorsivo">
    <w:name w:val="Emphasis"/>
    <w:basedOn w:val="Carpredefinitoparagrafo"/>
    <w:uiPriority w:val="20"/>
    <w:qFormat/>
    <w:rsid w:val="003B42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4295">
      <w:bodyDiv w:val="1"/>
      <w:marLeft w:val="0"/>
      <w:marRight w:val="0"/>
      <w:marTop w:val="0"/>
      <w:marBottom w:val="0"/>
      <w:divBdr>
        <w:top w:val="none" w:sz="0" w:space="0" w:color="auto"/>
        <w:left w:val="none" w:sz="0" w:space="0" w:color="auto"/>
        <w:bottom w:val="none" w:sz="0" w:space="0" w:color="auto"/>
        <w:right w:val="none" w:sz="0" w:space="0" w:color="auto"/>
      </w:divBdr>
    </w:div>
    <w:div w:id="22295669">
      <w:bodyDiv w:val="1"/>
      <w:marLeft w:val="0"/>
      <w:marRight w:val="0"/>
      <w:marTop w:val="0"/>
      <w:marBottom w:val="0"/>
      <w:divBdr>
        <w:top w:val="none" w:sz="0" w:space="0" w:color="auto"/>
        <w:left w:val="none" w:sz="0" w:space="0" w:color="auto"/>
        <w:bottom w:val="none" w:sz="0" w:space="0" w:color="auto"/>
        <w:right w:val="none" w:sz="0" w:space="0" w:color="auto"/>
      </w:divBdr>
    </w:div>
    <w:div w:id="533344760">
      <w:bodyDiv w:val="1"/>
      <w:marLeft w:val="0"/>
      <w:marRight w:val="0"/>
      <w:marTop w:val="0"/>
      <w:marBottom w:val="0"/>
      <w:divBdr>
        <w:top w:val="none" w:sz="0" w:space="0" w:color="auto"/>
        <w:left w:val="none" w:sz="0" w:space="0" w:color="auto"/>
        <w:bottom w:val="none" w:sz="0" w:space="0" w:color="auto"/>
        <w:right w:val="none" w:sz="0" w:space="0" w:color="auto"/>
      </w:divBdr>
    </w:div>
    <w:div w:id="625694254">
      <w:bodyDiv w:val="1"/>
      <w:marLeft w:val="0"/>
      <w:marRight w:val="0"/>
      <w:marTop w:val="0"/>
      <w:marBottom w:val="0"/>
      <w:divBdr>
        <w:top w:val="none" w:sz="0" w:space="0" w:color="auto"/>
        <w:left w:val="none" w:sz="0" w:space="0" w:color="auto"/>
        <w:bottom w:val="none" w:sz="0" w:space="0" w:color="auto"/>
        <w:right w:val="none" w:sz="0" w:space="0" w:color="auto"/>
      </w:divBdr>
      <w:divsChild>
        <w:div w:id="841814668">
          <w:marLeft w:val="0"/>
          <w:marRight w:val="0"/>
          <w:marTop w:val="0"/>
          <w:marBottom w:val="0"/>
          <w:divBdr>
            <w:top w:val="none" w:sz="0" w:space="0" w:color="auto"/>
            <w:left w:val="none" w:sz="0" w:space="0" w:color="auto"/>
            <w:bottom w:val="none" w:sz="0" w:space="0" w:color="auto"/>
            <w:right w:val="none" w:sz="0" w:space="0" w:color="auto"/>
          </w:divBdr>
          <w:divsChild>
            <w:div w:id="1228495402">
              <w:marLeft w:val="0"/>
              <w:marRight w:val="0"/>
              <w:marTop w:val="0"/>
              <w:marBottom w:val="0"/>
              <w:divBdr>
                <w:top w:val="none" w:sz="0" w:space="0" w:color="auto"/>
                <w:left w:val="none" w:sz="0" w:space="0" w:color="auto"/>
                <w:bottom w:val="none" w:sz="0" w:space="0" w:color="auto"/>
                <w:right w:val="none" w:sz="0" w:space="0" w:color="auto"/>
              </w:divBdr>
              <w:divsChild>
                <w:div w:id="12447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13222">
      <w:bodyDiv w:val="1"/>
      <w:marLeft w:val="0"/>
      <w:marRight w:val="0"/>
      <w:marTop w:val="0"/>
      <w:marBottom w:val="0"/>
      <w:divBdr>
        <w:top w:val="none" w:sz="0" w:space="0" w:color="auto"/>
        <w:left w:val="none" w:sz="0" w:space="0" w:color="auto"/>
        <w:bottom w:val="none" w:sz="0" w:space="0" w:color="auto"/>
        <w:right w:val="none" w:sz="0" w:space="0" w:color="auto"/>
      </w:divBdr>
    </w:div>
    <w:div w:id="699281387">
      <w:bodyDiv w:val="1"/>
      <w:marLeft w:val="0"/>
      <w:marRight w:val="0"/>
      <w:marTop w:val="0"/>
      <w:marBottom w:val="0"/>
      <w:divBdr>
        <w:top w:val="none" w:sz="0" w:space="0" w:color="auto"/>
        <w:left w:val="none" w:sz="0" w:space="0" w:color="auto"/>
        <w:bottom w:val="none" w:sz="0" w:space="0" w:color="auto"/>
        <w:right w:val="none" w:sz="0" w:space="0" w:color="auto"/>
      </w:divBdr>
    </w:div>
    <w:div w:id="777145489">
      <w:bodyDiv w:val="1"/>
      <w:marLeft w:val="0"/>
      <w:marRight w:val="0"/>
      <w:marTop w:val="0"/>
      <w:marBottom w:val="0"/>
      <w:divBdr>
        <w:top w:val="none" w:sz="0" w:space="0" w:color="auto"/>
        <w:left w:val="none" w:sz="0" w:space="0" w:color="auto"/>
        <w:bottom w:val="none" w:sz="0" w:space="0" w:color="auto"/>
        <w:right w:val="none" w:sz="0" w:space="0" w:color="auto"/>
      </w:divBdr>
    </w:div>
    <w:div w:id="826635037">
      <w:bodyDiv w:val="1"/>
      <w:marLeft w:val="0"/>
      <w:marRight w:val="0"/>
      <w:marTop w:val="0"/>
      <w:marBottom w:val="0"/>
      <w:divBdr>
        <w:top w:val="none" w:sz="0" w:space="0" w:color="auto"/>
        <w:left w:val="none" w:sz="0" w:space="0" w:color="auto"/>
        <w:bottom w:val="none" w:sz="0" w:space="0" w:color="auto"/>
        <w:right w:val="none" w:sz="0" w:space="0" w:color="auto"/>
      </w:divBdr>
    </w:div>
    <w:div w:id="914315812">
      <w:bodyDiv w:val="1"/>
      <w:marLeft w:val="0"/>
      <w:marRight w:val="0"/>
      <w:marTop w:val="0"/>
      <w:marBottom w:val="0"/>
      <w:divBdr>
        <w:top w:val="none" w:sz="0" w:space="0" w:color="auto"/>
        <w:left w:val="none" w:sz="0" w:space="0" w:color="auto"/>
        <w:bottom w:val="none" w:sz="0" w:space="0" w:color="auto"/>
        <w:right w:val="none" w:sz="0" w:space="0" w:color="auto"/>
      </w:divBdr>
    </w:div>
    <w:div w:id="1035541271">
      <w:bodyDiv w:val="1"/>
      <w:marLeft w:val="0"/>
      <w:marRight w:val="0"/>
      <w:marTop w:val="0"/>
      <w:marBottom w:val="0"/>
      <w:divBdr>
        <w:top w:val="none" w:sz="0" w:space="0" w:color="auto"/>
        <w:left w:val="none" w:sz="0" w:space="0" w:color="auto"/>
        <w:bottom w:val="none" w:sz="0" w:space="0" w:color="auto"/>
        <w:right w:val="none" w:sz="0" w:space="0" w:color="auto"/>
      </w:divBdr>
    </w:div>
    <w:div w:id="1132214474">
      <w:bodyDiv w:val="1"/>
      <w:marLeft w:val="0"/>
      <w:marRight w:val="0"/>
      <w:marTop w:val="0"/>
      <w:marBottom w:val="0"/>
      <w:divBdr>
        <w:top w:val="none" w:sz="0" w:space="0" w:color="auto"/>
        <w:left w:val="none" w:sz="0" w:space="0" w:color="auto"/>
        <w:bottom w:val="none" w:sz="0" w:space="0" w:color="auto"/>
        <w:right w:val="none" w:sz="0" w:space="0" w:color="auto"/>
      </w:divBdr>
    </w:div>
    <w:div w:id="1136140179">
      <w:bodyDiv w:val="1"/>
      <w:marLeft w:val="0"/>
      <w:marRight w:val="0"/>
      <w:marTop w:val="0"/>
      <w:marBottom w:val="0"/>
      <w:divBdr>
        <w:top w:val="none" w:sz="0" w:space="0" w:color="auto"/>
        <w:left w:val="none" w:sz="0" w:space="0" w:color="auto"/>
        <w:bottom w:val="none" w:sz="0" w:space="0" w:color="auto"/>
        <w:right w:val="none" w:sz="0" w:space="0" w:color="auto"/>
      </w:divBdr>
      <w:divsChild>
        <w:div w:id="694040635">
          <w:marLeft w:val="0"/>
          <w:marRight w:val="0"/>
          <w:marTop w:val="0"/>
          <w:marBottom w:val="0"/>
          <w:divBdr>
            <w:top w:val="none" w:sz="0" w:space="0" w:color="auto"/>
            <w:left w:val="none" w:sz="0" w:space="0" w:color="auto"/>
            <w:bottom w:val="none" w:sz="0" w:space="0" w:color="auto"/>
            <w:right w:val="none" w:sz="0" w:space="0" w:color="auto"/>
          </w:divBdr>
        </w:div>
        <w:div w:id="909462778">
          <w:marLeft w:val="0"/>
          <w:marRight w:val="0"/>
          <w:marTop w:val="0"/>
          <w:marBottom w:val="0"/>
          <w:divBdr>
            <w:top w:val="none" w:sz="0" w:space="0" w:color="auto"/>
            <w:left w:val="none" w:sz="0" w:space="0" w:color="auto"/>
            <w:bottom w:val="none" w:sz="0" w:space="0" w:color="auto"/>
            <w:right w:val="none" w:sz="0" w:space="0" w:color="auto"/>
          </w:divBdr>
        </w:div>
      </w:divsChild>
    </w:div>
    <w:div w:id="1189903687">
      <w:bodyDiv w:val="1"/>
      <w:marLeft w:val="0"/>
      <w:marRight w:val="0"/>
      <w:marTop w:val="0"/>
      <w:marBottom w:val="0"/>
      <w:divBdr>
        <w:top w:val="none" w:sz="0" w:space="0" w:color="auto"/>
        <w:left w:val="none" w:sz="0" w:space="0" w:color="auto"/>
        <w:bottom w:val="none" w:sz="0" w:space="0" w:color="auto"/>
        <w:right w:val="none" w:sz="0" w:space="0" w:color="auto"/>
      </w:divBdr>
    </w:div>
    <w:div w:id="1281187295">
      <w:bodyDiv w:val="1"/>
      <w:marLeft w:val="0"/>
      <w:marRight w:val="0"/>
      <w:marTop w:val="0"/>
      <w:marBottom w:val="0"/>
      <w:divBdr>
        <w:top w:val="none" w:sz="0" w:space="0" w:color="auto"/>
        <w:left w:val="none" w:sz="0" w:space="0" w:color="auto"/>
        <w:bottom w:val="none" w:sz="0" w:space="0" w:color="auto"/>
        <w:right w:val="none" w:sz="0" w:space="0" w:color="auto"/>
      </w:divBdr>
    </w:div>
    <w:div w:id="1367172087">
      <w:bodyDiv w:val="1"/>
      <w:marLeft w:val="0"/>
      <w:marRight w:val="0"/>
      <w:marTop w:val="0"/>
      <w:marBottom w:val="0"/>
      <w:divBdr>
        <w:top w:val="none" w:sz="0" w:space="0" w:color="auto"/>
        <w:left w:val="none" w:sz="0" w:space="0" w:color="auto"/>
        <w:bottom w:val="none" w:sz="0" w:space="0" w:color="auto"/>
        <w:right w:val="none" w:sz="0" w:space="0" w:color="auto"/>
      </w:divBdr>
    </w:div>
    <w:div w:id="1467623238">
      <w:bodyDiv w:val="1"/>
      <w:marLeft w:val="0"/>
      <w:marRight w:val="0"/>
      <w:marTop w:val="0"/>
      <w:marBottom w:val="0"/>
      <w:divBdr>
        <w:top w:val="none" w:sz="0" w:space="0" w:color="auto"/>
        <w:left w:val="none" w:sz="0" w:space="0" w:color="auto"/>
        <w:bottom w:val="none" w:sz="0" w:space="0" w:color="auto"/>
        <w:right w:val="none" w:sz="0" w:space="0" w:color="auto"/>
      </w:divBdr>
    </w:div>
    <w:div w:id="1474131259">
      <w:bodyDiv w:val="1"/>
      <w:marLeft w:val="0"/>
      <w:marRight w:val="0"/>
      <w:marTop w:val="0"/>
      <w:marBottom w:val="0"/>
      <w:divBdr>
        <w:top w:val="none" w:sz="0" w:space="0" w:color="auto"/>
        <w:left w:val="none" w:sz="0" w:space="0" w:color="auto"/>
        <w:bottom w:val="none" w:sz="0" w:space="0" w:color="auto"/>
        <w:right w:val="none" w:sz="0" w:space="0" w:color="auto"/>
      </w:divBdr>
    </w:div>
    <w:div w:id="1482888953">
      <w:bodyDiv w:val="1"/>
      <w:marLeft w:val="0"/>
      <w:marRight w:val="0"/>
      <w:marTop w:val="0"/>
      <w:marBottom w:val="0"/>
      <w:divBdr>
        <w:top w:val="none" w:sz="0" w:space="0" w:color="auto"/>
        <w:left w:val="none" w:sz="0" w:space="0" w:color="auto"/>
        <w:bottom w:val="none" w:sz="0" w:space="0" w:color="auto"/>
        <w:right w:val="none" w:sz="0" w:space="0" w:color="auto"/>
      </w:divBdr>
    </w:div>
    <w:div w:id="1511871787">
      <w:bodyDiv w:val="1"/>
      <w:marLeft w:val="0"/>
      <w:marRight w:val="0"/>
      <w:marTop w:val="0"/>
      <w:marBottom w:val="0"/>
      <w:divBdr>
        <w:top w:val="none" w:sz="0" w:space="0" w:color="auto"/>
        <w:left w:val="none" w:sz="0" w:space="0" w:color="auto"/>
        <w:bottom w:val="none" w:sz="0" w:space="0" w:color="auto"/>
        <w:right w:val="none" w:sz="0" w:space="0" w:color="auto"/>
      </w:divBdr>
    </w:div>
    <w:div w:id="1524317663">
      <w:bodyDiv w:val="1"/>
      <w:marLeft w:val="0"/>
      <w:marRight w:val="0"/>
      <w:marTop w:val="0"/>
      <w:marBottom w:val="0"/>
      <w:divBdr>
        <w:top w:val="none" w:sz="0" w:space="0" w:color="auto"/>
        <w:left w:val="none" w:sz="0" w:space="0" w:color="auto"/>
        <w:bottom w:val="none" w:sz="0" w:space="0" w:color="auto"/>
        <w:right w:val="none" w:sz="0" w:space="0" w:color="auto"/>
      </w:divBdr>
    </w:div>
    <w:div w:id="1532960814">
      <w:bodyDiv w:val="1"/>
      <w:marLeft w:val="0"/>
      <w:marRight w:val="0"/>
      <w:marTop w:val="0"/>
      <w:marBottom w:val="0"/>
      <w:divBdr>
        <w:top w:val="none" w:sz="0" w:space="0" w:color="auto"/>
        <w:left w:val="none" w:sz="0" w:space="0" w:color="auto"/>
        <w:bottom w:val="none" w:sz="0" w:space="0" w:color="auto"/>
        <w:right w:val="none" w:sz="0" w:space="0" w:color="auto"/>
      </w:divBdr>
    </w:div>
    <w:div w:id="1565556020">
      <w:bodyDiv w:val="1"/>
      <w:marLeft w:val="0"/>
      <w:marRight w:val="0"/>
      <w:marTop w:val="0"/>
      <w:marBottom w:val="0"/>
      <w:divBdr>
        <w:top w:val="none" w:sz="0" w:space="0" w:color="auto"/>
        <w:left w:val="none" w:sz="0" w:space="0" w:color="auto"/>
        <w:bottom w:val="none" w:sz="0" w:space="0" w:color="auto"/>
        <w:right w:val="none" w:sz="0" w:space="0" w:color="auto"/>
      </w:divBdr>
    </w:div>
    <w:div w:id="1582985309">
      <w:bodyDiv w:val="1"/>
      <w:marLeft w:val="0"/>
      <w:marRight w:val="0"/>
      <w:marTop w:val="0"/>
      <w:marBottom w:val="0"/>
      <w:divBdr>
        <w:top w:val="none" w:sz="0" w:space="0" w:color="auto"/>
        <w:left w:val="none" w:sz="0" w:space="0" w:color="auto"/>
        <w:bottom w:val="none" w:sz="0" w:space="0" w:color="auto"/>
        <w:right w:val="none" w:sz="0" w:space="0" w:color="auto"/>
      </w:divBdr>
    </w:div>
    <w:div w:id="1584146761">
      <w:bodyDiv w:val="1"/>
      <w:marLeft w:val="0"/>
      <w:marRight w:val="0"/>
      <w:marTop w:val="0"/>
      <w:marBottom w:val="0"/>
      <w:divBdr>
        <w:top w:val="none" w:sz="0" w:space="0" w:color="auto"/>
        <w:left w:val="none" w:sz="0" w:space="0" w:color="auto"/>
        <w:bottom w:val="none" w:sz="0" w:space="0" w:color="auto"/>
        <w:right w:val="none" w:sz="0" w:space="0" w:color="auto"/>
      </w:divBdr>
    </w:div>
    <w:div w:id="1668050179">
      <w:bodyDiv w:val="1"/>
      <w:marLeft w:val="0"/>
      <w:marRight w:val="0"/>
      <w:marTop w:val="0"/>
      <w:marBottom w:val="0"/>
      <w:divBdr>
        <w:top w:val="none" w:sz="0" w:space="0" w:color="auto"/>
        <w:left w:val="none" w:sz="0" w:space="0" w:color="auto"/>
        <w:bottom w:val="none" w:sz="0" w:space="0" w:color="auto"/>
        <w:right w:val="none" w:sz="0" w:space="0" w:color="auto"/>
      </w:divBdr>
    </w:div>
    <w:div w:id="1673414861">
      <w:bodyDiv w:val="1"/>
      <w:marLeft w:val="0"/>
      <w:marRight w:val="0"/>
      <w:marTop w:val="0"/>
      <w:marBottom w:val="0"/>
      <w:divBdr>
        <w:top w:val="none" w:sz="0" w:space="0" w:color="auto"/>
        <w:left w:val="none" w:sz="0" w:space="0" w:color="auto"/>
        <w:bottom w:val="none" w:sz="0" w:space="0" w:color="auto"/>
        <w:right w:val="none" w:sz="0" w:space="0" w:color="auto"/>
      </w:divBdr>
    </w:div>
    <w:div w:id="1727950719">
      <w:bodyDiv w:val="1"/>
      <w:marLeft w:val="0"/>
      <w:marRight w:val="0"/>
      <w:marTop w:val="0"/>
      <w:marBottom w:val="0"/>
      <w:divBdr>
        <w:top w:val="none" w:sz="0" w:space="0" w:color="auto"/>
        <w:left w:val="none" w:sz="0" w:space="0" w:color="auto"/>
        <w:bottom w:val="none" w:sz="0" w:space="0" w:color="auto"/>
        <w:right w:val="none" w:sz="0" w:space="0" w:color="auto"/>
      </w:divBdr>
    </w:div>
    <w:div w:id="1957903168">
      <w:bodyDiv w:val="1"/>
      <w:marLeft w:val="0"/>
      <w:marRight w:val="0"/>
      <w:marTop w:val="0"/>
      <w:marBottom w:val="0"/>
      <w:divBdr>
        <w:top w:val="none" w:sz="0" w:space="0" w:color="auto"/>
        <w:left w:val="none" w:sz="0" w:space="0" w:color="auto"/>
        <w:bottom w:val="none" w:sz="0" w:space="0" w:color="auto"/>
        <w:right w:val="none" w:sz="0" w:space="0" w:color="auto"/>
      </w:divBdr>
      <w:divsChild>
        <w:div w:id="2040231534">
          <w:marLeft w:val="0"/>
          <w:marRight w:val="0"/>
          <w:marTop w:val="0"/>
          <w:marBottom w:val="0"/>
          <w:divBdr>
            <w:top w:val="none" w:sz="0" w:space="0" w:color="auto"/>
            <w:left w:val="none" w:sz="0" w:space="0" w:color="auto"/>
            <w:bottom w:val="none" w:sz="0" w:space="0" w:color="auto"/>
            <w:right w:val="none" w:sz="0" w:space="0" w:color="auto"/>
          </w:divBdr>
          <w:divsChild>
            <w:div w:id="349644879">
              <w:marLeft w:val="0"/>
              <w:marRight w:val="0"/>
              <w:marTop w:val="0"/>
              <w:marBottom w:val="0"/>
              <w:divBdr>
                <w:top w:val="none" w:sz="0" w:space="0" w:color="auto"/>
                <w:left w:val="none" w:sz="0" w:space="0" w:color="auto"/>
                <w:bottom w:val="none" w:sz="0" w:space="0" w:color="auto"/>
                <w:right w:val="none" w:sz="0" w:space="0" w:color="auto"/>
              </w:divBdr>
              <w:divsChild>
                <w:div w:id="15382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7470">
      <w:bodyDiv w:val="1"/>
      <w:marLeft w:val="0"/>
      <w:marRight w:val="0"/>
      <w:marTop w:val="0"/>
      <w:marBottom w:val="0"/>
      <w:divBdr>
        <w:top w:val="none" w:sz="0" w:space="0" w:color="auto"/>
        <w:left w:val="none" w:sz="0" w:space="0" w:color="auto"/>
        <w:bottom w:val="none" w:sz="0" w:space="0" w:color="auto"/>
        <w:right w:val="none" w:sz="0" w:space="0" w:color="auto"/>
      </w:divBdr>
      <w:divsChild>
        <w:div w:id="1665430555">
          <w:marLeft w:val="0"/>
          <w:marRight w:val="0"/>
          <w:marTop w:val="0"/>
          <w:marBottom w:val="0"/>
          <w:divBdr>
            <w:top w:val="none" w:sz="0" w:space="0" w:color="auto"/>
            <w:left w:val="none" w:sz="0" w:space="0" w:color="auto"/>
            <w:bottom w:val="none" w:sz="0" w:space="0" w:color="auto"/>
            <w:right w:val="none" w:sz="0" w:space="0" w:color="auto"/>
          </w:divBdr>
        </w:div>
        <w:div w:id="1429541041">
          <w:marLeft w:val="0"/>
          <w:marRight w:val="0"/>
          <w:marTop w:val="0"/>
          <w:marBottom w:val="0"/>
          <w:divBdr>
            <w:top w:val="none" w:sz="0" w:space="0" w:color="auto"/>
            <w:left w:val="none" w:sz="0" w:space="0" w:color="auto"/>
            <w:bottom w:val="none" w:sz="0" w:space="0" w:color="auto"/>
            <w:right w:val="none" w:sz="0" w:space="0" w:color="auto"/>
          </w:divBdr>
        </w:div>
        <w:div w:id="1570114811">
          <w:marLeft w:val="0"/>
          <w:marRight w:val="0"/>
          <w:marTop w:val="0"/>
          <w:marBottom w:val="0"/>
          <w:divBdr>
            <w:top w:val="none" w:sz="0" w:space="0" w:color="auto"/>
            <w:left w:val="none" w:sz="0" w:space="0" w:color="auto"/>
            <w:bottom w:val="none" w:sz="0" w:space="0" w:color="auto"/>
            <w:right w:val="none" w:sz="0" w:space="0" w:color="auto"/>
          </w:divBdr>
        </w:div>
        <w:div w:id="1962344855">
          <w:marLeft w:val="0"/>
          <w:marRight w:val="0"/>
          <w:marTop w:val="0"/>
          <w:marBottom w:val="0"/>
          <w:divBdr>
            <w:top w:val="none" w:sz="0" w:space="0" w:color="auto"/>
            <w:left w:val="none" w:sz="0" w:space="0" w:color="auto"/>
            <w:bottom w:val="none" w:sz="0" w:space="0" w:color="auto"/>
            <w:right w:val="none" w:sz="0" w:space="0" w:color="auto"/>
          </w:divBdr>
        </w:div>
      </w:divsChild>
    </w:div>
    <w:div w:id="2123962701">
      <w:bodyDiv w:val="1"/>
      <w:marLeft w:val="0"/>
      <w:marRight w:val="0"/>
      <w:marTop w:val="0"/>
      <w:marBottom w:val="0"/>
      <w:divBdr>
        <w:top w:val="none" w:sz="0" w:space="0" w:color="auto"/>
        <w:left w:val="none" w:sz="0" w:space="0" w:color="auto"/>
        <w:bottom w:val="none" w:sz="0" w:space="0" w:color="auto"/>
        <w:right w:val="none" w:sz="0" w:space="0" w:color="auto"/>
      </w:divBdr>
      <w:divsChild>
        <w:div w:id="1127972279">
          <w:marLeft w:val="0"/>
          <w:marRight w:val="0"/>
          <w:marTop w:val="0"/>
          <w:marBottom w:val="0"/>
          <w:divBdr>
            <w:top w:val="none" w:sz="0" w:space="0" w:color="auto"/>
            <w:left w:val="none" w:sz="0" w:space="0" w:color="auto"/>
            <w:bottom w:val="none" w:sz="0" w:space="0" w:color="auto"/>
            <w:right w:val="none" w:sz="0" w:space="0" w:color="auto"/>
          </w:divBdr>
          <w:divsChild>
            <w:div w:id="552277028">
              <w:marLeft w:val="0"/>
              <w:marRight w:val="0"/>
              <w:marTop w:val="0"/>
              <w:marBottom w:val="0"/>
              <w:divBdr>
                <w:top w:val="none" w:sz="0" w:space="0" w:color="auto"/>
                <w:left w:val="none" w:sz="0" w:space="0" w:color="auto"/>
                <w:bottom w:val="none" w:sz="0" w:space="0" w:color="auto"/>
                <w:right w:val="none" w:sz="0" w:space="0" w:color="auto"/>
              </w:divBdr>
              <w:divsChild>
                <w:div w:id="966160453">
                  <w:marLeft w:val="0"/>
                  <w:marRight w:val="0"/>
                  <w:marTop w:val="0"/>
                  <w:marBottom w:val="0"/>
                  <w:divBdr>
                    <w:top w:val="none" w:sz="0" w:space="0" w:color="auto"/>
                    <w:left w:val="none" w:sz="0" w:space="0" w:color="auto"/>
                    <w:bottom w:val="none" w:sz="0" w:space="0" w:color="auto"/>
                    <w:right w:val="none" w:sz="0" w:space="0" w:color="auto"/>
                  </w:divBdr>
                  <w:divsChild>
                    <w:div w:id="9929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86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oodle.adaptland.it/mod/page/view.php?id=21353"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adapt.it/talent_factory.html" TargetMode="External"/><Relationship Id="rId2" Type="http://schemas.openxmlformats.org/officeDocument/2006/relationships/hyperlink" Target="http://www.bollettinoadapt.it/newsletter-adapt-iscrizione/" TargetMode="External"/><Relationship Id="rId1" Type="http://schemas.openxmlformats.org/officeDocument/2006/relationships/hyperlink" Target="http://www.adapt.it" TargetMode="External"/><Relationship Id="rId4" Type="http://schemas.openxmlformats.org/officeDocument/2006/relationships/hyperlink" Target="mailto:selezione@adapt.i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bollettinoadapt.i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twitter.com/bollettinoADAPT"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E1F13-1DB9-9D41-B731-139F9DDA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7</Pages>
  <Words>2526</Words>
  <Characters>14400</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ADAPT</dc:creator>
  <cp:keywords/>
  <dc:description/>
  <cp:lastModifiedBy>MARIA PAGLIARO</cp:lastModifiedBy>
  <cp:revision>97</cp:revision>
  <dcterms:created xsi:type="dcterms:W3CDTF">2024-02-01T10:51:00Z</dcterms:created>
  <dcterms:modified xsi:type="dcterms:W3CDTF">2024-03-04T09:50:00Z</dcterms:modified>
</cp:coreProperties>
</file>