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3B" w:rsidRDefault="00C11E3B" w:rsidP="008766A9">
      <w:pPr>
        <w:jc w:val="both"/>
        <w:rPr>
          <w:i/>
          <w:color w:val="CC0000"/>
          <w:sz w:val="20"/>
          <w:szCs w:val="20"/>
        </w:rPr>
      </w:pPr>
    </w:p>
    <w:p w:rsidR="00D23205" w:rsidRDefault="00D23205" w:rsidP="008766A9">
      <w:pPr>
        <w:jc w:val="both"/>
        <w:rPr>
          <w:i/>
          <w:color w:val="CC0000"/>
          <w:sz w:val="20"/>
          <w:szCs w:val="20"/>
        </w:rPr>
      </w:pPr>
    </w:p>
    <w:p w:rsidR="00F9309F" w:rsidRPr="007A7519" w:rsidRDefault="00FE2B9A" w:rsidP="00F9309F">
      <w:pPr>
        <w:tabs>
          <w:tab w:val="right" w:pos="9638"/>
        </w:tabs>
        <w:jc w:val="both"/>
        <w:rPr>
          <w:color w:val="C00000"/>
          <w:sz w:val="20"/>
          <w:szCs w:val="20"/>
        </w:rPr>
      </w:pPr>
      <w:hyperlink r:id="rId8" w:history="1"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r w:rsidR="00F446A3">
          <w:rPr>
            <w:rStyle w:val="Collegamentoipertestuale"/>
            <w:i/>
            <w:color w:val="C00000"/>
            <w:sz w:val="20"/>
            <w:szCs w:val="20"/>
            <w:u w:val="none"/>
          </w:rPr>
          <w:t>adapt_rel_ind</w:t>
        </w:r>
      </w:hyperlink>
      <w:r w:rsidR="00A27F6F" w:rsidRPr="007A7519">
        <w:rPr>
          <w:color w:val="C00000"/>
          <w:sz w:val="20"/>
          <w:szCs w:val="20"/>
        </w:rPr>
        <w:t xml:space="preserve">, </w:t>
      </w:r>
      <w:r w:rsidR="00854C08">
        <w:rPr>
          <w:color w:val="CC0000"/>
          <w:sz w:val="20"/>
          <w:szCs w:val="20"/>
        </w:rPr>
        <w:t>17 gennaio 2015</w:t>
      </w:r>
    </w:p>
    <w:p w:rsidR="00FB6054" w:rsidRDefault="00FB6054" w:rsidP="008766A9">
      <w:pPr>
        <w:jc w:val="both"/>
        <w:rPr>
          <w:color w:val="CC0000"/>
        </w:rPr>
      </w:pPr>
    </w:p>
    <w:p w:rsidR="00F9309F" w:rsidRPr="00FB6054" w:rsidRDefault="00F9309F" w:rsidP="008766A9">
      <w:pPr>
        <w:jc w:val="both"/>
        <w:rPr>
          <w:color w:val="CC0000"/>
        </w:rPr>
      </w:pPr>
    </w:p>
    <w:p w:rsidR="00FB6054" w:rsidRPr="00FB6054" w:rsidRDefault="009F1CA2" w:rsidP="008766A9">
      <w:pPr>
        <w:jc w:val="both"/>
        <w:rPr>
          <w:color w:val="CC0000"/>
        </w:rPr>
      </w:pPr>
      <w:r>
        <w:rPr>
          <w:noProof/>
          <w:color w:val="CC000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-15240</wp:posOffset>
            </wp:positionH>
            <wp:positionV relativeFrom="page">
              <wp:posOffset>1054100</wp:posOffset>
            </wp:positionV>
            <wp:extent cx="356870" cy="355600"/>
            <wp:effectExtent l="19050" t="0" r="5080" b="0"/>
            <wp:wrapSquare wrapText="bothSides"/>
            <wp:docPr id="2" name="Immagine 1" descr="fare_contrat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e_contrattazi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054" w:rsidRPr="00FB6054" w:rsidRDefault="00FB6054" w:rsidP="008766A9">
      <w:pPr>
        <w:jc w:val="both"/>
        <w:rPr>
          <w:color w:val="CC0000"/>
        </w:rPr>
      </w:pPr>
    </w:p>
    <w:p w:rsidR="0002005A" w:rsidRDefault="0002005A" w:rsidP="0002005A">
      <w:pPr>
        <w:jc w:val="both"/>
        <w:rPr>
          <w:color w:val="CC0000"/>
        </w:rPr>
      </w:pPr>
    </w:p>
    <w:p w:rsidR="009A0D66" w:rsidRPr="00560674" w:rsidRDefault="00795C5D" w:rsidP="008766A9">
      <w:pPr>
        <w:rPr>
          <w:b/>
          <w:color w:val="CC0000"/>
          <w:sz w:val="40"/>
          <w:szCs w:val="40"/>
        </w:rPr>
      </w:pPr>
      <w:r w:rsidRPr="00560674">
        <w:rPr>
          <w:b/>
          <w:color w:val="CC0000"/>
          <w:sz w:val="40"/>
          <w:szCs w:val="40"/>
        </w:rPr>
        <w:t>D</w:t>
      </w:r>
      <w:r w:rsidR="00854C08" w:rsidRPr="00560674">
        <w:rPr>
          <w:b/>
          <w:color w:val="CC0000"/>
          <w:sz w:val="40"/>
          <w:szCs w:val="40"/>
        </w:rPr>
        <w:t>ove porta la disdetta della contrattazione i</w:t>
      </w:r>
      <w:r w:rsidR="00854C08" w:rsidRPr="00560674">
        <w:rPr>
          <w:b/>
          <w:color w:val="CC0000"/>
          <w:sz w:val="40"/>
          <w:szCs w:val="40"/>
        </w:rPr>
        <w:t>n</w:t>
      </w:r>
      <w:r w:rsidR="00854C08" w:rsidRPr="00560674">
        <w:rPr>
          <w:b/>
          <w:color w:val="CC0000"/>
          <w:sz w:val="40"/>
          <w:szCs w:val="40"/>
        </w:rPr>
        <w:t>tegrativa</w:t>
      </w:r>
    </w:p>
    <w:p w:rsidR="00E52D3C" w:rsidRPr="00E52D3C" w:rsidRDefault="00E52D3C" w:rsidP="008766A9">
      <w:pPr>
        <w:jc w:val="both"/>
        <w:rPr>
          <w:color w:val="CC0000"/>
          <w:sz w:val="20"/>
          <w:szCs w:val="20"/>
        </w:rPr>
      </w:pPr>
    </w:p>
    <w:p w:rsidR="00A27F6F" w:rsidRPr="00A27F6F" w:rsidRDefault="005D0A4E" w:rsidP="008766A9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r w:rsidR="006802B3">
        <w:rPr>
          <w:color w:val="CC0000"/>
          <w:sz w:val="32"/>
          <w:szCs w:val="32"/>
        </w:rPr>
        <w:t>Davide Mosca</w:t>
      </w:r>
      <w:r w:rsidR="008551D8">
        <w:rPr>
          <w:color w:val="CC0000"/>
          <w:sz w:val="32"/>
          <w:szCs w:val="32"/>
        </w:rPr>
        <w:t xml:space="preserve"> </w:t>
      </w:r>
    </w:p>
    <w:p w:rsidR="00A27F6F" w:rsidRDefault="00A27F6F" w:rsidP="008766A9">
      <w:pPr>
        <w:jc w:val="both"/>
      </w:pPr>
    </w:p>
    <w:p w:rsidR="00F9309F" w:rsidRPr="00FD236F" w:rsidRDefault="007959A6" w:rsidP="00F9309F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r w:rsidR="008551D8">
        <w:rPr>
          <w:i/>
          <w:sz w:val="20"/>
          <w:szCs w:val="20"/>
        </w:rPr>
        <w:t>relazionindustriali</w:t>
      </w:r>
      <w:r w:rsidRPr="00864905">
        <w:rPr>
          <w:i/>
          <w:sz w:val="20"/>
          <w:szCs w:val="20"/>
        </w:rPr>
        <w:t xml:space="preserve"> </w:t>
      </w:r>
      <w:r w:rsidR="00854C08">
        <w:rPr>
          <w:i/>
          <w:sz w:val="20"/>
          <w:szCs w:val="20"/>
        </w:rPr>
        <w:t xml:space="preserve">#lavazza #italtel #disdetta </w:t>
      </w:r>
      <w:r>
        <w:rPr>
          <w:i/>
          <w:sz w:val="20"/>
          <w:szCs w:val="20"/>
        </w:rPr>
        <w:t>#</w:t>
      </w:r>
      <w:r w:rsidR="006802B3">
        <w:rPr>
          <w:i/>
          <w:sz w:val="20"/>
          <w:szCs w:val="20"/>
        </w:rPr>
        <w:t>contrattazion</w:t>
      </w:r>
      <w:r w:rsidR="008551D8">
        <w:rPr>
          <w:i/>
          <w:sz w:val="20"/>
          <w:szCs w:val="20"/>
        </w:rPr>
        <w:t>e</w:t>
      </w:r>
      <w:r w:rsidR="00854C08">
        <w:rPr>
          <w:i/>
          <w:sz w:val="20"/>
          <w:szCs w:val="20"/>
        </w:rPr>
        <w:t xml:space="preserve"> #flessibilità</w:t>
      </w:r>
      <w:r w:rsidR="006802B3">
        <w:rPr>
          <w:i/>
          <w:sz w:val="20"/>
          <w:szCs w:val="20"/>
        </w:rPr>
        <w:t xml:space="preserve"> #investimenti</w:t>
      </w:r>
    </w:p>
    <w:p w:rsidR="007959A6" w:rsidRDefault="007959A6" w:rsidP="008766A9">
      <w:pPr>
        <w:jc w:val="both"/>
      </w:pPr>
    </w:p>
    <w:p w:rsidR="009B077C" w:rsidRDefault="009B077C" w:rsidP="008766A9">
      <w:pPr>
        <w:jc w:val="both"/>
      </w:pPr>
    </w:p>
    <w:p w:rsidR="00854C08" w:rsidRPr="006D769A" w:rsidRDefault="00854C08" w:rsidP="00CE7B82">
      <w:pPr>
        <w:spacing w:line="276" w:lineRule="auto"/>
        <w:jc w:val="both"/>
      </w:pPr>
      <w:r w:rsidRPr="00854C08">
        <w:rPr>
          <w:b/>
        </w:rPr>
        <w:t>La cronaca delle relazioni industriali è stata segnata nell’ultimo triennio da numerosi casi di disdetta della contrattazione collettiva.</w:t>
      </w:r>
      <w:r w:rsidRPr="006D769A">
        <w:t xml:space="preserve"> Dalla grande distribuzione organizzata, al metalmeccan</w:t>
      </w:r>
      <w:r w:rsidRPr="006D769A">
        <w:t>i</w:t>
      </w:r>
      <w:r w:rsidRPr="006D769A">
        <w:t>co, alle telecomunicazioni, la crisi ha contribuito al diffondersi della pratica in tutti i settori dell’economia. Tanto a livello nazionale, con l’eclatante vicenda del Ccnl Bancari</w:t>
      </w:r>
      <w:r w:rsidR="00F206C1">
        <w:t xml:space="preserve"> disdettato a pochi mesi di distanza dal rinnovo</w:t>
      </w:r>
      <w:r w:rsidRPr="006D769A">
        <w:t xml:space="preserve">, quanto a livello aziendale. </w:t>
      </w:r>
    </w:p>
    <w:p w:rsidR="00854C08" w:rsidRDefault="00854C08" w:rsidP="00CE7B82">
      <w:pPr>
        <w:spacing w:line="276" w:lineRule="auto"/>
        <w:jc w:val="both"/>
      </w:pPr>
    </w:p>
    <w:p w:rsidR="00854C08" w:rsidRDefault="00854C08" w:rsidP="00CE7B82">
      <w:pPr>
        <w:spacing w:line="276" w:lineRule="auto"/>
        <w:jc w:val="both"/>
      </w:pPr>
      <w:r w:rsidRPr="00854C08">
        <w:rPr>
          <w:b/>
        </w:rPr>
        <w:t>Il</w:t>
      </w:r>
      <w:r w:rsidRPr="00854C08">
        <w:rPr>
          <w:b/>
          <w:color w:val="0000FF"/>
        </w:rPr>
        <w:t xml:space="preserve"> </w:t>
      </w:r>
      <w:r w:rsidRPr="00854C08">
        <w:rPr>
          <w:b/>
        </w:rPr>
        <w:t>caso più recente finito</w:t>
      </w:r>
      <w:r w:rsidRPr="00854C08">
        <w:rPr>
          <w:b/>
          <w:color w:val="0000FF"/>
        </w:rPr>
        <w:t xml:space="preserve"> </w:t>
      </w:r>
      <w:r w:rsidRPr="00854C08">
        <w:rPr>
          <w:b/>
        </w:rPr>
        <w:t>sotto i riflettori è quello di Italtel.</w:t>
      </w:r>
      <w:r>
        <w:t xml:space="preserve"> Il gruppo che opera nel settore delle telecomunicazioni ha comunicato alle sigle sindacali la disdetta di tutti gli accordi integrativi azie</w:t>
      </w:r>
      <w:r>
        <w:t>n</w:t>
      </w:r>
      <w:r>
        <w:t>dali</w:t>
      </w:r>
      <w:r>
        <w:rPr>
          <w:color w:val="0000FF"/>
        </w:rPr>
        <w:t>.</w:t>
      </w:r>
      <w:r>
        <w:t xml:space="preserve"> La </w:t>
      </w:r>
      <w:r w:rsidRPr="006D769A">
        <w:t xml:space="preserve">decisione è stata giustificata </w:t>
      </w:r>
      <w:r>
        <w:t>con la necessità di abbattere il costo del lavoro e contenere gli esuberi</w:t>
      </w:r>
      <w:r w:rsidR="00F206C1">
        <w:t>,</w:t>
      </w:r>
      <w:r>
        <w:t xml:space="preserve"> </w:t>
      </w:r>
      <w:r w:rsidRPr="006D769A">
        <w:t>con l’enfasi posta sull</w:t>
      </w:r>
      <w:r>
        <w:t xml:space="preserve">’insostenibilità </w:t>
      </w:r>
      <w:r w:rsidRPr="006D769A">
        <w:t>economica</w:t>
      </w:r>
      <w:r>
        <w:rPr>
          <w:color w:val="0000FF"/>
        </w:rPr>
        <w:t xml:space="preserve"> </w:t>
      </w:r>
      <w:r>
        <w:t>della contrattazione aziendale</w:t>
      </w:r>
      <w:r w:rsidRPr="006D769A">
        <w:t>. Da un lato, dunque, l’auspicio dell’azienda di</w:t>
      </w:r>
      <w:r>
        <w:rPr>
          <w:color w:val="0000FF"/>
        </w:rPr>
        <w:t xml:space="preserve"> </w:t>
      </w:r>
      <w:r w:rsidRPr="006D769A">
        <w:t>firmare</w:t>
      </w:r>
      <w:r>
        <w:rPr>
          <w:color w:val="0000FF"/>
        </w:rPr>
        <w:t xml:space="preserve"> </w:t>
      </w:r>
      <w:r w:rsidR="00F206C1">
        <w:t>un nuovo e meno oneroso</w:t>
      </w:r>
      <w:r>
        <w:t xml:space="preserve"> </w:t>
      </w:r>
      <w:r w:rsidR="00F206C1">
        <w:t>impianto</w:t>
      </w:r>
      <w:r>
        <w:t xml:space="preserve"> contrattuale. </w:t>
      </w:r>
      <w:r w:rsidRPr="00F206C1">
        <w:t>Dall’altro</w:t>
      </w:r>
      <w:r w:rsidR="00795C5D" w:rsidRPr="00F206C1">
        <w:t>,</w:t>
      </w:r>
      <w:r w:rsidRPr="00F206C1">
        <w:t xml:space="preserve"> </w:t>
      </w:r>
      <w:r w:rsidR="00F206C1" w:rsidRPr="00F206C1">
        <w:t>l’opposizione de</w:t>
      </w:r>
      <w:r w:rsidRPr="00F206C1">
        <w:t>i</w:t>
      </w:r>
      <w:r>
        <w:t xml:space="preserve"> sindacati </w:t>
      </w:r>
      <w:r w:rsidRPr="006D769A">
        <w:t>che</w:t>
      </w:r>
      <w:r>
        <w:t>, in risposta, sono tutt’oggi in mobilitazione.</w:t>
      </w:r>
      <w:r w:rsidR="00560674">
        <w:t xml:space="preserve"> Il risultato è attualmente l’accettazione dell’impresa a sospendere la disdetta della contrattazione aziendale, con le parti che si prepara</w:t>
      </w:r>
      <w:r w:rsidR="00DA4B81">
        <w:t>no a riavviare</w:t>
      </w:r>
      <w:r w:rsidR="00560674">
        <w:t xml:space="preserve"> le trattative.</w:t>
      </w:r>
    </w:p>
    <w:p w:rsidR="00854C08" w:rsidRDefault="00854C08" w:rsidP="00CE7B82">
      <w:pPr>
        <w:spacing w:line="276" w:lineRule="auto"/>
        <w:jc w:val="both"/>
      </w:pPr>
    </w:p>
    <w:p w:rsidR="00854C08" w:rsidRDefault="00854C08" w:rsidP="00CE7B82">
      <w:pPr>
        <w:spacing w:line="276" w:lineRule="auto"/>
        <w:jc w:val="both"/>
      </w:pPr>
      <w:r w:rsidRPr="00854C08">
        <w:rPr>
          <w:b/>
        </w:rPr>
        <w:t>Caso diverso</w:t>
      </w:r>
      <w:r w:rsidR="00F1745B">
        <w:rPr>
          <w:b/>
        </w:rPr>
        <w:t xml:space="preserve"> è quello che ha interessato lo</w:t>
      </w:r>
      <w:bookmarkStart w:id="0" w:name="_GoBack"/>
      <w:bookmarkEnd w:id="0"/>
      <w:r w:rsidRPr="00854C08">
        <w:rPr>
          <w:b/>
        </w:rPr>
        <w:t xml:space="preserve"> stabilimento Lavazza di Settimo Torinese.</w:t>
      </w:r>
      <w:r>
        <w:t xml:space="preserve"> L’azienda </w:t>
      </w:r>
      <w:r w:rsidRPr="006D769A">
        <w:t xml:space="preserve">ha proceduto alla </w:t>
      </w:r>
      <w:r>
        <w:t xml:space="preserve">disdetta dei contratti collettivi di sito, con l’intenzione di raggiungere una nuova intesa ed estendere così allo stabilimento </w:t>
      </w:r>
      <w:r w:rsidR="00795C5D">
        <w:t>di Settimo</w:t>
      </w:r>
      <w:r>
        <w:t xml:space="preserve"> i modelli organizzativi e flessibili già accordati per i siti di Gattinara, Pozzilli e Verres. Non sono mancate frizioni tra </w:t>
      </w:r>
      <w:r w:rsidRPr="006D769A">
        <w:t xml:space="preserve">direzione d’azienda </w:t>
      </w:r>
      <w:r>
        <w:t>e organizzazioni sindacali, ma su queste basi le parti si sono incontrate e nel mese di d</w:t>
      </w:r>
      <w:r>
        <w:t>i</w:t>
      </w:r>
      <w:r>
        <w:t>cembre dello scorso anno hanno siglato il nuovo contratto integrativo per lo stabilimento.</w:t>
      </w:r>
    </w:p>
    <w:p w:rsidR="00854C08" w:rsidRDefault="00854C08" w:rsidP="00CE7B82">
      <w:pPr>
        <w:spacing w:line="276" w:lineRule="auto"/>
        <w:jc w:val="both"/>
      </w:pPr>
    </w:p>
    <w:p w:rsidR="00854C08" w:rsidRDefault="00854C08" w:rsidP="00CE7B82">
      <w:pPr>
        <w:spacing w:line="276" w:lineRule="auto"/>
        <w:jc w:val="both"/>
      </w:pPr>
      <w:r w:rsidRPr="00854C08">
        <w:rPr>
          <w:b/>
        </w:rPr>
        <w:t>In entrambi i casi la disdetta è stato l’input per un forte scossone al sistema aziendale di rel</w:t>
      </w:r>
      <w:r w:rsidRPr="00854C08">
        <w:rPr>
          <w:b/>
        </w:rPr>
        <w:t>a</w:t>
      </w:r>
      <w:r w:rsidRPr="00854C08">
        <w:rPr>
          <w:b/>
        </w:rPr>
        <w:t>zioni industriali.</w:t>
      </w:r>
      <w:r>
        <w:t xml:space="preserve"> Sia in Lavazza che Italtel</w:t>
      </w:r>
      <w:r w:rsidR="00795C5D">
        <w:t>,</w:t>
      </w:r>
      <w:r>
        <w:t xml:space="preserve"> il sindacato si è trovato (o si trova) innanzi ad un bivio negoziale, ad un “aut aut</w:t>
      </w:r>
      <w:r w:rsidRPr="006D769A">
        <w:t>”, dovendo gestire il rischio di</w:t>
      </w:r>
      <w:r>
        <w:t xml:space="preserve"> </w:t>
      </w:r>
      <w:r w:rsidRPr="00253599">
        <w:t>pesanti conseguenze occupazionali</w:t>
      </w:r>
      <w:r>
        <w:t xml:space="preserve"> a fronte di un’indisponibilità </w:t>
      </w:r>
      <w:r w:rsidRPr="006D769A">
        <w:t>verso le rivendicazioni manageriali.</w:t>
      </w:r>
    </w:p>
    <w:p w:rsidR="00854C08" w:rsidRDefault="00854C08" w:rsidP="00CE7B82">
      <w:pPr>
        <w:spacing w:line="276" w:lineRule="auto"/>
        <w:jc w:val="both"/>
      </w:pPr>
    </w:p>
    <w:p w:rsidR="00854C08" w:rsidRDefault="00854C08" w:rsidP="00CE7B82">
      <w:pPr>
        <w:spacing w:line="276" w:lineRule="auto"/>
        <w:jc w:val="both"/>
      </w:pPr>
      <w:r w:rsidRPr="00854C08">
        <w:rPr>
          <w:b/>
        </w:rPr>
        <w:t>Pur tuttavia, tra le due vicende si riscontrano differenze di non poco conto.</w:t>
      </w:r>
      <w:r>
        <w:t xml:space="preserve"> In primo luogo, Lavazza ha prospettato investimenti e garanzie occupazionali in cambio di un’organizzazione del lavoro più flessibile, raggiungendo poi un “accordo di concessione” espansivo</w:t>
      </w:r>
      <w:r w:rsidRPr="006D769A">
        <w:t>, volano di nuovi i</w:t>
      </w:r>
      <w:r w:rsidRPr="006D769A">
        <w:t>n</w:t>
      </w:r>
      <w:r w:rsidRPr="006D769A">
        <w:t xml:space="preserve">vestimenti, e </w:t>
      </w:r>
      <w:r>
        <w:t xml:space="preserve">caratterizzato da un innalzamento dell’orario multiperiodale, dall’istituto della “banca </w:t>
      </w:r>
      <w:r>
        <w:lastRenderedPageBreak/>
        <w:t xml:space="preserve">delle ore”, da turni a scorrimento, dal mantenimento degli impianti durante le pause, nonché da un premio di risultato legato a produttività ed assenteismo. L’avvenuta disdetta degli accordi aziendali in Italtel è invece strumentale alla necessità aziendale di abbattere il costo del lavoro. Una ulteriore differenza </w:t>
      </w:r>
      <w:r w:rsidRPr="006D769A">
        <w:t xml:space="preserve">sta nel </w:t>
      </w:r>
      <w:r>
        <w:t>fatto che l’azienda piemontese nota per la produzione di caffè ha negoziato al l</w:t>
      </w:r>
      <w:r>
        <w:t>i</w:t>
      </w:r>
      <w:r>
        <w:t>vello di singola unità produttività, diversamente Italtel si muove a livello di gruppo.</w:t>
      </w:r>
    </w:p>
    <w:p w:rsidR="00854C08" w:rsidRDefault="00854C08" w:rsidP="00CE7B82">
      <w:pPr>
        <w:spacing w:line="276" w:lineRule="auto"/>
        <w:jc w:val="both"/>
      </w:pPr>
    </w:p>
    <w:p w:rsidR="00854C08" w:rsidRPr="006D769A" w:rsidRDefault="00854C08" w:rsidP="00CE7B82">
      <w:pPr>
        <w:spacing w:line="276" w:lineRule="auto"/>
        <w:jc w:val="both"/>
      </w:pPr>
      <w:r w:rsidRPr="00854C08">
        <w:rPr>
          <w:b/>
        </w:rPr>
        <w:t xml:space="preserve">Sia Lavazza che Italtel hanno azzerato il pavimento contrattuale per poterlo ricomporre. </w:t>
      </w:r>
      <w:r w:rsidRPr="00795C5D">
        <w:t>Se entrambe le imprese hanno in comune il punto di partenza, e cioè la disdetta della contrattazione collettiva di sito ovvero aziendale, il fine è diverso: una maggiore flessibilità</w:t>
      </w:r>
      <w:r w:rsidRPr="00795C5D">
        <w:rPr>
          <w:color w:val="0000FF"/>
        </w:rPr>
        <w:t xml:space="preserve"> </w:t>
      </w:r>
      <w:r w:rsidRPr="00795C5D">
        <w:t>organizzativa necess</w:t>
      </w:r>
      <w:r w:rsidRPr="00795C5D">
        <w:t>a</w:t>
      </w:r>
      <w:r w:rsidRPr="00795C5D">
        <w:t>ria ad attrarre nuovi investimenti in un caso, un contenimento dei costi nell’altro per contenere gli esuberi.</w:t>
      </w:r>
      <w:r w:rsidRPr="006D769A">
        <w:t xml:space="preserve"> </w:t>
      </w:r>
      <w:r>
        <w:t>Nello specifico, in Lavazza la disdetta del contratto di sito è stata funzionale all’impostazione di un certo circuito negoziale, quindi alla realizzazione degli incrementi di comp</w:t>
      </w:r>
      <w:r>
        <w:t>e</w:t>
      </w:r>
      <w:r>
        <w:t>titività tanto invocati dall’azienda in cambio di investimenti e garanzie occupazionali. In Italtel, d’altra parte, la disdetta degli accordi aziendali è mirata ad azzerare l’impianto contrattuale aziend</w:t>
      </w:r>
      <w:r>
        <w:t>a</w:t>
      </w:r>
      <w:r>
        <w:t>le, rimettervi mano ovvero applicare la disciplina nazionale e ridurre così i costi del fattore lavoro. L’impresa, in questo senso, non opta per pratiche di carattere espansivo: sul piatto non si prospett</w:t>
      </w:r>
      <w:r>
        <w:t>a</w:t>
      </w:r>
      <w:r>
        <w:t>no investimenti, alla necessità di una contrattazione aziendale meno esigente è subordinata la tutela occupazionale, se non la capacità dell’azienda stessa di stare sul mercato. Lavazza</w:t>
      </w:r>
      <w:r w:rsidRPr="006D769A">
        <w:t>, inoltre, ha pot</w:t>
      </w:r>
      <w:r w:rsidRPr="006D769A">
        <w:t>u</w:t>
      </w:r>
      <w:r w:rsidRPr="006D769A">
        <w:t xml:space="preserve">to vantare </w:t>
      </w:r>
      <w:r w:rsidRPr="006C195C">
        <w:t xml:space="preserve">una nuova e </w:t>
      </w:r>
      <w:r>
        <w:t>maggiore forza contrattuale negoziando a livello di unità produttiva, dive</w:t>
      </w:r>
      <w:r>
        <w:t>r</w:t>
      </w:r>
      <w:r>
        <w:t>samente da Italtel che ha impostato un negoziato su scala aziendale, per così dire “a tutto campo”.</w:t>
      </w:r>
    </w:p>
    <w:p w:rsidR="00854C08" w:rsidRDefault="00854C08" w:rsidP="00CE7B82">
      <w:pPr>
        <w:spacing w:line="276" w:lineRule="auto"/>
        <w:jc w:val="both"/>
      </w:pPr>
    </w:p>
    <w:p w:rsidR="00854C08" w:rsidRPr="00986BD1" w:rsidRDefault="00854C08" w:rsidP="00CE7B82">
      <w:pPr>
        <w:spacing w:line="276" w:lineRule="auto"/>
        <w:jc w:val="both"/>
      </w:pPr>
      <w:r w:rsidRPr="00854C08">
        <w:rPr>
          <w:b/>
        </w:rPr>
        <w:t>Certo è che da un atto unilaterale e rilevante quale la disdetta del contratto collettivo aziend</w:t>
      </w:r>
      <w:r w:rsidRPr="00854C08">
        <w:rPr>
          <w:b/>
        </w:rPr>
        <w:t>a</w:t>
      </w:r>
      <w:r w:rsidRPr="00854C08">
        <w:rPr>
          <w:b/>
        </w:rPr>
        <w:t>le derivano margini d’azione ristretti per il sindacato</w:t>
      </w:r>
      <w:r w:rsidRPr="00854C08">
        <w:rPr>
          <w:b/>
          <w:color w:val="0000FF"/>
        </w:rPr>
        <w:t>:</w:t>
      </w:r>
      <w:r w:rsidRPr="00854C08">
        <w:rPr>
          <w:b/>
        </w:rPr>
        <w:t xml:space="preserve"> la partita non sembra giocarsi ad armi pari.</w:t>
      </w:r>
      <w:r w:rsidRPr="006C195C">
        <w:t xml:space="preserve"> </w:t>
      </w:r>
      <w:r>
        <w:t>Tali varchi possono esser ancor meglio sfruttati da</w:t>
      </w:r>
      <w:r w:rsidRPr="006C195C">
        <w:t xml:space="preserve"> quelle aziende che </w:t>
      </w:r>
      <w:r>
        <w:t>mirano a</w:t>
      </w:r>
      <w:r w:rsidRPr="006C195C">
        <w:t xml:space="preserve"> slegarsi </w:t>
      </w:r>
      <w:r w:rsidRPr="006D769A">
        <w:t>dai vincoli contrattuali</w:t>
      </w:r>
      <w:r>
        <w:rPr>
          <w:color w:val="0000FF"/>
        </w:rPr>
        <w:t xml:space="preserve"> </w:t>
      </w:r>
      <w:r w:rsidRPr="006C195C">
        <w:t>per puntare ad un riassetto del sistema di relazioni industriali</w:t>
      </w:r>
      <w:r>
        <w:t xml:space="preserve"> </w:t>
      </w:r>
      <w:r w:rsidRPr="006D769A">
        <w:t xml:space="preserve">più elastico e </w:t>
      </w:r>
      <w:r w:rsidRPr="006D769A">
        <w:rPr>
          <w:i/>
        </w:rPr>
        <w:t>market oriented</w:t>
      </w:r>
      <w:r w:rsidRPr="006D769A">
        <w:t xml:space="preserve">, </w:t>
      </w:r>
      <w:r>
        <w:t xml:space="preserve">peraltro negoziando a livello di sito </w:t>
      </w:r>
      <w:r w:rsidRPr="006D769A">
        <w:t>dove la questione della competitività può ess</w:t>
      </w:r>
      <w:r w:rsidRPr="006D769A">
        <w:t>e</w:t>
      </w:r>
      <w:r w:rsidRPr="006D769A">
        <w:t>re posta con maggiore enfasi sul tavolo delle trattative.</w:t>
      </w:r>
      <w:r>
        <w:t xml:space="preserve"> L</w:t>
      </w:r>
      <w:r w:rsidRPr="006C195C">
        <w:t>e esigenze di flessibilità organizzativa (e contrattuale) sono evidenti, la contrattazione di prossimità (elastica e vicina ai casi concreti da reg</w:t>
      </w:r>
      <w:r w:rsidRPr="006C195C">
        <w:t>o</w:t>
      </w:r>
      <w:r w:rsidRPr="006C195C">
        <w:t>lare</w:t>
      </w:r>
      <w:r w:rsidRPr="006D769A">
        <w:t xml:space="preserve">) sembra la </w:t>
      </w:r>
      <w:r w:rsidRPr="006C195C">
        <w:t xml:space="preserve">via preferenziale per rispondervi. </w:t>
      </w:r>
      <w:r>
        <w:t>C</w:t>
      </w:r>
      <w:r w:rsidRPr="006C195C">
        <w:t>he Marchionne abbia segnato la via per aspiranti</w:t>
      </w:r>
      <w:r>
        <w:rPr>
          <w:i/>
        </w:rPr>
        <w:t xml:space="preserve"> global-player</w:t>
      </w:r>
      <w:r w:rsidRPr="006C195C">
        <w:t>?</w:t>
      </w:r>
      <w:r>
        <w:rPr>
          <w:i/>
        </w:rPr>
        <w:t xml:space="preserve">  </w:t>
      </w:r>
    </w:p>
    <w:p w:rsidR="00B25088" w:rsidRDefault="00B25088" w:rsidP="006802B3">
      <w:pPr>
        <w:spacing w:line="276" w:lineRule="auto"/>
        <w:jc w:val="both"/>
        <w:rPr>
          <w:rFonts w:eastAsia="Calibri"/>
          <w:lang w:eastAsia="en-US"/>
        </w:rPr>
      </w:pPr>
    </w:p>
    <w:p w:rsidR="006802B3" w:rsidRDefault="006802B3" w:rsidP="00B25088">
      <w:pPr>
        <w:jc w:val="right"/>
        <w:rPr>
          <w:b/>
          <w:i/>
          <w:sz w:val="20"/>
          <w:szCs w:val="20"/>
        </w:rPr>
      </w:pPr>
    </w:p>
    <w:p w:rsidR="00AD444C" w:rsidRPr="006802B3" w:rsidRDefault="00FE2B9A" w:rsidP="00B25088">
      <w:pPr>
        <w:jc w:val="right"/>
        <w:rPr>
          <w:rFonts w:eastAsia="Calibri"/>
          <w:lang w:eastAsia="en-US"/>
        </w:rPr>
      </w:pPr>
      <w:hyperlink r:id="rId10" w:history="1">
        <w:r w:rsidR="006802B3" w:rsidRPr="006802B3">
          <w:rPr>
            <w:rStyle w:val="Collegamentoipertestuale"/>
            <w:b/>
            <w:i/>
            <w:sz w:val="20"/>
            <w:szCs w:val="20"/>
            <w:u w:val="none"/>
          </w:rPr>
          <w:t>Davide Mosca</w:t>
        </w:r>
      </w:hyperlink>
    </w:p>
    <w:p w:rsidR="00B91EBB" w:rsidRPr="00895C01" w:rsidRDefault="00B91EBB" w:rsidP="00B25088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 xml:space="preserve">Scuola internazionale di </w:t>
      </w:r>
      <w:r w:rsidR="000E3B27" w:rsidRPr="00895C01">
        <w:rPr>
          <w:sz w:val="20"/>
          <w:szCs w:val="20"/>
        </w:rPr>
        <w:t>d</w:t>
      </w:r>
      <w:r w:rsidRPr="00895C01">
        <w:rPr>
          <w:sz w:val="20"/>
          <w:szCs w:val="20"/>
        </w:rPr>
        <w:t>ottorato in Formazione della persona e mercato del lavoro</w:t>
      </w:r>
    </w:p>
    <w:p w:rsidR="0051783E" w:rsidRPr="00B25088" w:rsidRDefault="00B91EBB" w:rsidP="00B25088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B91EBB" w:rsidRDefault="007A7519" w:rsidP="00B25088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A3">
        <w:rPr>
          <w:i/>
          <w:sz w:val="20"/>
          <w:szCs w:val="20"/>
        </w:rPr>
        <w:t>@</w:t>
      </w:r>
      <w:r w:rsidR="006802B3">
        <w:rPr>
          <w:i/>
          <w:sz w:val="20"/>
          <w:szCs w:val="20"/>
        </w:rPr>
        <w:t>Dav_Mosca</w:t>
      </w:r>
    </w:p>
    <w:p w:rsidR="008551D8" w:rsidRDefault="008551D8" w:rsidP="008766A9">
      <w:pPr>
        <w:keepNext/>
        <w:jc w:val="right"/>
        <w:rPr>
          <w:sz w:val="20"/>
          <w:szCs w:val="20"/>
        </w:rPr>
      </w:pPr>
    </w:p>
    <w:sectPr w:rsidR="008551D8" w:rsidSect="00E31857">
      <w:footerReference w:type="even" r:id="rId12"/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AA" w:rsidRDefault="00AC34AA">
      <w:r>
        <w:separator/>
      </w:r>
    </w:p>
    <w:p w:rsidR="00AC34AA" w:rsidRDefault="00AC34AA"/>
  </w:endnote>
  <w:endnote w:type="continuationSeparator" w:id="0">
    <w:p w:rsidR="00AC34AA" w:rsidRDefault="00AC34AA">
      <w:r>
        <w:continuationSeparator/>
      </w:r>
    </w:p>
    <w:p w:rsidR="00AC34AA" w:rsidRDefault="00AC34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EC" w:rsidRDefault="00FE2B9A" w:rsidP="000C4355">
    <w:pPr>
      <w:framePr w:wrap="around" w:vAnchor="text" w:hAnchor="margin" w:xAlign="right" w:y="1"/>
    </w:pPr>
    <w:r>
      <w:fldChar w:fldCharType="begin"/>
    </w:r>
    <w:r w:rsidR="000C72EC">
      <w:instrText xml:space="preserve">PAGE  </w:instrText>
    </w:r>
    <w:r>
      <w:fldChar w:fldCharType="end"/>
    </w:r>
  </w:p>
  <w:p w:rsidR="000C72EC" w:rsidRDefault="000C72EC" w:rsidP="0078652F">
    <w:pPr>
      <w:ind w:right="360"/>
    </w:pPr>
  </w:p>
  <w:p w:rsidR="000C72EC" w:rsidRDefault="000C72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EC" w:rsidRPr="0078652F" w:rsidRDefault="00FE2B9A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0C72EC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DA4B81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0C72EC" w:rsidRPr="008141B6" w:rsidRDefault="000C72EC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EC" w:rsidRPr="000D62F8" w:rsidRDefault="00FE2B9A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0C72EC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0C72EC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0C72EC" w:rsidRPr="000D62F8" w:rsidRDefault="000C72EC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AA" w:rsidRPr="00C30F49" w:rsidRDefault="00AC34AA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AC34AA" w:rsidRPr="00C30F49" w:rsidRDefault="00AC34AA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7F6F"/>
    <w:rsid w:val="00001C0E"/>
    <w:rsid w:val="00011019"/>
    <w:rsid w:val="0002005A"/>
    <w:rsid w:val="00026ED8"/>
    <w:rsid w:val="00044EA5"/>
    <w:rsid w:val="0004721C"/>
    <w:rsid w:val="00063B8B"/>
    <w:rsid w:val="000748D7"/>
    <w:rsid w:val="00090F48"/>
    <w:rsid w:val="000A6080"/>
    <w:rsid w:val="000A6913"/>
    <w:rsid w:val="000C4355"/>
    <w:rsid w:val="000C72EC"/>
    <w:rsid w:val="000D4CB3"/>
    <w:rsid w:val="000D62F8"/>
    <w:rsid w:val="000E140C"/>
    <w:rsid w:val="000E1AF1"/>
    <w:rsid w:val="000E36AE"/>
    <w:rsid w:val="000E3B27"/>
    <w:rsid w:val="001014F1"/>
    <w:rsid w:val="0010517D"/>
    <w:rsid w:val="0011246F"/>
    <w:rsid w:val="00112551"/>
    <w:rsid w:val="0013075C"/>
    <w:rsid w:val="00133782"/>
    <w:rsid w:val="00133926"/>
    <w:rsid w:val="00134486"/>
    <w:rsid w:val="00136660"/>
    <w:rsid w:val="00137039"/>
    <w:rsid w:val="0014016C"/>
    <w:rsid w:val="001942A4"/>
    <w:rsid w:val="001952B4"/>
    <w:rsid w:val="0019661E"/>
    <w:rsid w:val="00197242"/>
    <w:rsid w:val="001C7C28"/>
    <w:rsid w:val="001E4EFC"/>
    <w:rsid w:val="00202885"/>
    <w:rsid w:val="002074C8"/>
    <w:rsid w:val="00215259"/>
    <w:rsid w:val="002227E7"/>
    <w:rsid w:val="002269EF"/>
    <w:rsid w:val="0025060D"/>
    <w:rsid w:val="00251E99"/>
    <w:rsid w:val="00261C03"/>
    <w:rsid w:val="00261C29"/>
    <w:rsid w:val="00264311"/>
    <w:rsid w:val="00265B5C"/>
    <w:rsid w:val="0027453C"/>
    <w:rsid w:val="00274DBD"/>
    <w:rsid w:val="00293211"/>
    <w:rsid w:val="002951BA"/>
    <w:rsid w:val="002A6752"/>
    <w:rsid w:val="002A768E"/>
    <w:rsid w:val="002B25CD"/>
    <w:rsid w:val="002B3D2B"/>
    <w:rsid w:val="002B5A3A"/>
    <w:rsid w:val="002B6A43"/>
    <w:rsid w:val="002B717C"/>
    <w:rsid w:val="002C0621"/>
    <w:rsid w:val="002C1A8F"/>
    <w:rsid w:val="002D5E1B"/>
    <w:rsid w:val="002E693A"/>
    <w:rsid w:val="002F6BFA"/>
    <w:rsid w:val="00303FBE"/>
    <w:rsid w:val="0031268F"/>
    <w:rsid w:val="00313A64"/>
    <w:rsid w:val="00321BB8"/>
    <w:rsid w:val="003319C3"/>
    <w:rsid w:val="00332CE1"/>
    <w:rsid w:val="00343D30"/>
    <w:rsid w:val="003534E5"/>
    <w:rsid w:val="00365CCC"/>
    <w:rsid w:val="00383B5E"/>
    <w:rsid w:val="00394407"/>
    <w:rsid w:val="003B000B"/>
    <w:rsid w:val="003C338F"/>
    <w:rsid w:val="003C36EA"/>
    <w:rsid w:val="003E2417"/>
    <w:rsid w:val="003E3062"/>
    <w:rsid w:val="003E349C"/>
    <w:rsid w:val="004059CD"/>
    <w:rsid w:val="0041445D"/>
    <w:rsid w:val="00423335"/>
    <w:rsid w:val="004326AA"/>
    <w:rsid w:val="00432B78"/>
    <w:rsid w:val="00433B0F"/>
    <w:rsid w:val="00440A92"/>
    <w:rsid w:val="00457B5F"/>
    <w:rsid w:val="00484C9F"/>
    <w:rsid w:val="004B4259"/>
    <w:rsid w:val="004B4817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400AF"/>
    <w:rsid w:val="00547020"/>
    <w:rsid w:val="00560674"/>
    <w:rsid w:val="00565965"/>
    <w:rsid w:val="00565CA0"/>
    <w:rsid w:val="00571265"/>
    <w:rsid w:val="005778CE"/>
    <w:rsid w:val="00577D94"/>
    <w:rsid w:val="00577FD1"/>
    <w:rsid w:val="005817E8"/>
    <w:rsid w:val="00593ED0"/>
    <w:rsid w:val="005A32BA"/>
    <w:rsid w:val="005A4BF4"/>
    <w:rsid w:val="005B4641"/>
    <w:rsid w:val="005B5758"/>
    <w:rsid w:val="005C13D6"/>
    <w:rsid w:val="005D0A4E"/>
    <w:rsid w:val="005D1809"/>
    <w:rsid w:val="005D1E18"/>
    <w:rsid w:val="005D3677"/>
    <w:rsid w:val="005D5A43"/>
    <w:rsid w:val="005F68F1"/>
    <w:rsid w:val="005F79AA"/>
    <w:rsid w:val="005F79AF"/>
    <w:rsid w:val="005F7D54"/>
    <w:rsid w:val="0060111F"/>
    <w:rsid w:val="00604B7F"/>
    <w:rsid w:val="006172CD"/>
    <w:rsid w:val="0061773C"/>
    <w:rsid w:val="00636F1C"/>
    <w:rsid w:val="006443CA"/>
    <w:rsid w:val="00647C71"/>
    <w:rsid w:val="00656E36"/>
    <w:rsid w:val="0067041A"/>
    <w:rsid w:val="00675D7C"/>
    <w:rsid w:val="006802B3"/>
    <w:rsid w:val="006803E0"/>
    <w:rsid w:val="00680868"/>
    <w:rsid w:val="00683AC0"/>
    <w:rsid w:val="00685600"/>
    <w:rsid w:val="0069730D"/>
    <w:rsid w:val="006A3024"/>
    <w:rsid w:val="006B0757"/>
    <w:rsid w:val="006C117F"/>
    <w:rsid w:val="006D093F"/>
    <w:rsid w:val="006E7873"/>
    <w:rsid w:val="006F3980"/>
    <w:rsid w:val="0070351C"/>
    <w:rsid w:val="0071716A"/>
    <w:rsid w:val="007307D0"/>
    <w:rsid w:val="00732D3C"/>
    <w:rsid w:val="0073580E"/>
    <w:rsid w:val="00737F11"/>
    <w:rsid w:val="007530D7"/>
    <w:rsid w:val="007603BF"/>
    <w:rsid w:val="007623A7"/>
    <w:rsid w:val="0076322F"/>
    <w:rsid w:val="00764428"/>
    <w:rsid w:val="00781757"/>
    <w:rsid w:val="0078652F"/>
    <w:rsid w:val="0079450C"/>
    <w:rsid w:val="007959A6"/>
    <w:rsid w:val="00795C5D"/>
    <w:rsid w:val="00797371"/>
    <w:rsid w:val="007A2A75"/>
    <w:rsid w:val="007A7519"/>
    <w:rsid w:val="007D016B"/>
    <w:rsid w:val="007E2B18"/>
    <w:rsid w:val="007E5A77"/>
    <w:rsid w:val="007E6D3B"/>
    <w:rsid w:val="00810FC9"/>
    <w:rsid w:val="008141B6"/>
    <w:rsid w:val="0082692A"/>
    <w:rsid w:val="00830BD3"/>
    <w:rsid w:val="00835407"/>
    <w:rsid w:val="00841D4E"/>
    <w:rsid w:val="0085384C"/>
    <w:rsid w:val="00854C08"/>
    <w:rsid w:val="008551D8"/>
    <w:rsid w:val="00855A1E"/>
    <w:rsid w:val="00862912"/>
    <w:rsid w:val="00864905"/>
    <w:rsid w:val="008766A9"/>
    <w:rsid w:val="00884D91"/>
    <w:rsid w:val="00884ED3"/>
    <w:rsid w:val="00885A64"/>
    <w:rsid w:val="00895C01"/>
    <w:rsid w:val="00897F54"/>
    <w:rsid w:val="008A075D"/>
    <w:rsid w:val="008B6C93"/>
    <w:rsid w:val="008C2A6F"/>
    <w:rsid w:val="008C62D9"/>
    <w:rsid w:val="008D4652"/>
    <w:rsid w:val="008E2929"/>
    <w:rsid w:val="008E3037"/>
    <w:rsid w:val="008F3548"/>
    <w:rsid w:val="00917027"/>
    <w:rsid w:val="00922497"/>
    <w:rsid w:val="00934173"/>
    <w:rsid w:val="0093546D"/>
    <w:rsid w:val="00954E4B"/>
    <w:rsid w:val="009630A2"/>
    <w:rsid w:val="00964416"/>
    <w:rsid w:val="00975A75"/>
    <w:rsid w:val="00990F23"/>
    <w:rsid w:val="009A0D66"/>
    <w:rsid w:val="009B077C"/>
    <w:rsid w:val="009B2925"/>
    <w:rsid w:val="009B7897"/>
    <w:rsid w:val="009C07E3"/>
    <w:rsid w:val="009C3E24"/>
    <w:rsid w:val="009D46E8"/>
    <w:rsid w:val="009E26FE"/>
    <w:rsid w:val="009F1CA2"/>
    <w:rsid w:val="009F40DA"/>
    <w:rsid w:val="00A048AE"/>
    <w:rsid w:val="00A21AF4"/>
    <w:rsid w:val="00A27161"/>
    <w:rsid w:val="00A27F6F"/>
    <w:rsid w:val="00A3055E"/>
    <w:rsid w:val="00A3445B"/>
    <w:rsid w:val="00A60D87"/>
    <w:rsid w:val="00A61732"/>
    <w:rsid w:val="00A6197B"/>
    <w:rsid w:val="00A71066"/>
    <w:rsid w:val="00A71E30"/>
    <w:rsid w:val="00A73EE1"/>
    <w:rsid w:val="00A760AF"/>
    <w:rsid w:val="00A84E80"/>
    <w:rsid w:val="00A87428"/>
    <w:rsid w:val="00AA5E07"/>
    <w:rsid w:val="00AC34AA"/>
    <w:rsid w:val="00AD0BE5"/>
    <w:rsid w:val="00AD444C"/>
    <w:rsid w:val="00AD7FCD"/>
    <w:rsid w:val="00AE277F"/>
    <w:rsid w:val="00B25088"/>
    <w:rsid w:val="00B250F6"/>
    <w:rsid w:val="00B274B8"/>
    <w:rsid w:val="00B2759C"/>
    <w:rsid w:val="00B35E81"/>
    <w:rsid w:val="00B4512D"/>
    <w:rsid w:val="00B63166"/>
    <w:rsid w:val="00B801C6"/>
    <w:rsid w:val="00B835DD"/>
    <w:rsid w:val="00B84FEC"/>
    <w:rsid w:val="00B90DDB"/>
    <w:rsid w:val="00B91EBB"/>
    <w:rsid w:val="00B92B8A"/>
    <w:rsid w:val="00BA35B2"/>
    <w:rsid w:val="00BA543B"/>
    <w:rsid w:val="00BB0961"/>
    <w:rsid w:val="00BC270E"/>
    <w:rsid w:val="00BE1F49"/>
    <w:rsid w:val="00BE71A4"/>
    <w:rsid w:val="00BF54B6"/>
    <w:rsid w:val="00BF7AE2"/>
    <w:rsid w:val="00C00A7B"/>
    <w:rsid w:val="00C11E3B"/>
    <w:rsid w:val="00C14D8E"/>
    <w:rsid w:val="00C30F49"/>
    <w:rsid w:val="00C601E4"/>
    <w:rsid w:val="00C62D9F"/>
    <w:rsid w:val="00C73FBE"/>
    <w:rsid w:val="00C831D9"/>
    <w:rsid w:val="00CA0EE7"/>
    <w:rsid w:val="00CB0009"/>
    <w:rsid w:val="00CB70CC"/>
    <w:rsid w:val="00CD6CE3"/>
    <w:rsid w:val="00CD7092"/>
    <w:rsid w:val="00CD79E6"/>
    <w:rsid w:val="00CE1C40"/>
    <w:rsid w:val="00CE7B82"/>
    <w:rsid w:val="00CE7F9C"/>
    <w:rsid w:val="00CF709A"/>
    <w:rsid w:val="00D100F6"/>
    <w:rsid w:val="00D21034"/>
    <w:rsid w:val="00D23205"/>
    <w:rsid w:val="00D53821"/>
    <w:rsid w:val="00D70622"/>
    <w:rsid w:val="00D7575F"/>
    <w:rsid w:val="00D76E34"/>
    <w:rsid w:val="00D95AA5"/>
    <w:rsid w:val="00DA188B"/>
    <w:rsid w:val="00DA4B81"/>
    <w:rsid w:val="00DA5902"/>
    <w:rsid w:val="00DA7624"/>
    <w:rsid w:val="00DD2ACE"/>
    <w:rsid w:val="00DE2E5B"/>
    <w:rsid w:val="00DE7596"/>
    <w:rsid w:val="00DF2E17"/>
    <w:rsid w:val="00DF5397"/>
    <w:rsid w:val="00E031D9"/>
    <w:rsid w:val="00E05315"/>
    <w:rsid w:val="00E132B2"/>
    <w:rsid w:val="00E13671"/>
    <w:rsid w:val="00E22083"/>
    <w:rsid w:val="00E31857"/>
    <w:rsid w:val="00E406B7"/>
    <w:rsid w:val="00E42295"/>
    <w:rsid w:val="00E44198"/>
    <w:rsid w:val="00E44EAD"/>
    <w:rsid w:val="00E461A3"/>
    <w:rsid w:val="00E507FD"/>
    <w:rsid w:val="00E52D3C"/>
    <w:rsid w:val="00E71452"/>
    <w:rsid w:val="00E729FF"/>
    <w:rsid w:val="00E77010"/>
    <w:rsid w:val="00E84D99"/>
    <w:rsid w:val="00E87CC7"/>
    <w:rsid w:val="00E9097D"/>
    <w:rsid w:val="00E93759"/>
    <w:rsid w:val="00EB28F7"/>
    <w:rsid w:val="00EB7357"/>
    <w:rsid w:val="00EC02FC"/>
    <w:rsid w:val="00EC590B"/>
    <w:rsid w:val="00EC713C"/>
    <w:rsid w:val="00EE0E23"/>
    <w:rsid w:val="00EE2AD4"/>
    <w:rsid w:val="00EE3724"/>
    <w:rsid w:val="00EE6E5E"/>
    <w:rsid w:val="00EF796C"/>
    <w:rsid w:val="00F03C86"/>
    <w:rsid w:val="00F0741D"/>
    <w:rsid w:val="00F1745B"/>
    <w:rsid w:val="00F206C1"/>
    <w:rsid w:val="00F3054A"/>
    <w:rsid w:val="00F326A7"/>
    <w:rsid w:val="00F4024B"/>
    <w:rsid w:val="00F4112D"/>
    <w:rsid w:val="00F446A3"/>
    <w:rsid w:val="00F50FF3"/>
    <w:rsid w:val="00F52796"/>
    <w:rsid w:val="00F537B8"/>
    <w:rsid w:val="00F8726E"/>
    <w:rsid w:val="00F9309F"/>
    <w:rsid w:val="00F97F65"/>
    <w:rsid w:val="00FA3D45"/>
    <w:rsid w:val="00FB22A8"/>
    <w:rsid w:val="00FB6054"/>
    <w:rsid w:val="00FB7C10"/>
    <w:rsid w:val="00FC01D4"/>
    <w:rsid w:val="00FC4612"/>
    <w:rsid w:val="00FC6AFA"/>
    <w:rsid w:val="00FD236F"/>
    <w:rsid w:val="00FE2B9A"/>
    <w:rsid w:val="00FF4C2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760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attere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D79E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rsid w:val="007603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ollettinoADA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.adaptland.it/mod/page/view.php?id=142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37E4-0C89-42BF-A944-17E8B1C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5746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M.Magni - Adapt</dc:creator>
  <cp:lastModifiedBy>User</cp:lastModifiedBy>
  <cp:revision>11</cp:revision>
  <cp:lastPrinted>2014-05-27T13:42:00Z</cp:lastPrinted>
  <dcterms:created xsi:type="dcterms:W3CDTF">2015-01-17T18:02:00Z</dcterms:created>
  <dcterms:modified xsi:type="dcterms:W3CDTF">2015-01-17T19:39:00Z</dcterms:modified>
</cp:coreProperties>
</file>